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75" w:rsidRDefault="00197175">
      <w:pPr>
        <w:pStyle w:val="a4"/>
      </w:pPr>
      <w:bookmarkStart w:id="0" w:name="_docStart_1"/>
      <w:bookmarkStart w:id="1" w:name="_title_1"/>
      <w:bookmarkStart w:id="2" w:name="_ref_1-b860620167d24a"/>
      <w:bookmarkEnd w:id="0"/>
    </w:p>
    <w:p w:rsidR="008C699B" w:rsidRDefault="008C699B">
      <w:pPr>
        <w:pStyle w:val="a4"/>
      </w:pPr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8C699B" w:rsidRDefault="008C699B">
      <w:pPr>
        <w:pStyle w:val="a4"/>
      </w:pPr>
    </w:p>
    <w:p w:rsidR="008C699B" w:rsidRDefault="00230D0F" w:rsidP="008C699B">
      <w:pPr>
        <w:pStyle w:val="a4"/>
        <w:jc w:val="both"/>
        <w:rPr>
          <w:b w:val="0"/>
        </w:rPr>
      </w:pPr>
      <w:r>
        <w:rPr>
          <w:b w:val="0"/>
        </w:rPr>
        <w:t>2</w:t>
      </w:r>
      <w:r w:rsidR="00625590">
        <w:rPr>
          <w:b w:val="0"/>
        </w:rPr>
        <w:t>0</w:t>
      </w:r>
      <w:r w:rsidR="008C699B">
        <w:rPr>
          <w:b w:val="0"/>
        </w:rPr>
        <w:t>.1</w:t>
      </w:r>
      <w:r>
        <w:rPr>
          <w:b w:val="0"/>
        </w:rPr>
        <w:t>1</w:t>
      </w:r>
      <w:r w:rsidR="008C699B">
        <w:rPr>
          <w:b w:val="0"/>
        </w:rPr>
        <w:t>.20</w:t>
      </w:r>
      <w:r>
        <w:rPr>
          <w:b w:val="0"/>
        </w:rPr>
        <w:t>20</w:t>
      </w:r>
      <w:r w:rsidR="008C699B">
        <w:rPr>
          <w:b w:val="0"/>
        </w:rPr>
        <w:t xml:space="preserve">                                                                                         №</w:t>
      </w:r>
      <w:r w:rsidR="00302A74" w:rsidRPr="00302A74">
        <w:rPr>
          <w:b w:val="0"/>
        </w:rPr>
        <w:t xml:space="preserve"> 48</w:t>
      </w:r>
      <w:bookmarkStart w:id="3" w:name="_GoBack"/>
      <w:bookmarkEnd w:id="3"/>
      <w:r w:rsidR="00DA2E82">
        <w:rPr>
          <w:b w:val="0"/>
        </w:rPr>
        <w:t xml:space="preserve"> </w:t>
      </w:r>
    </w:p>
    <w:p w:rsidR="008C699B" w:rsidRPr="008C699B" w:rsidRDefault="008C699B" w:rsidP="008C699B"/>
    <w:p w:rsidR="008C699B" w:rsidRDefault="00971D37">
      <w:pPr>
        <w:pStyle w:val="a4"/>
      </w:pPr>
      <w:r>
        <w:br/>
      </w:r>
      <w:bookmarkEnd w:id="1"/>
      <w:bookmarkEnd w:id="2"/>
      <w:r w:rsidR="008C699B"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ПРИКАЗЫВАЮ:</w:t>
      </w:r>
    </w:p>
    <w:p w:rsidR="00050DE0" w:rsidRPr="00AC076A" w:rsidRDefault="00050DE0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>Внести изменения в приказ финансового управления Слободского района от 26.11.2014 № 49 «Об учетной политике финансового управления Слободского района»:</w:t>
      </w:r>
    </w:p>
    <w:p w:rsidR="00AC076A" w:rsidRPr="00AC076A" w:rsidRDefault="00AC076A" w:rsidP="00BF4DD3">
      <w:pPr>
        <w:pStyle w:val="aa"/>
        <w:rPr>
          <w:sz w:val="24"/>
          <w:szCs w:val="24"/>
        </w:rPr>
      </w:pPr>
    </w:p>
    <w:p w:rsidR="00AC076A" w:rsidRDefault="00AC076A" w:rsidP="00BF4DD3">
      <w:pPr>
        <w:pStyle w:val="aa"/>
        <w:rPr>
          <w:sz w:val="24"/>
          <w:szCs w:val="24"/>
        </w:rPr>
      </w:pPr>
      <w:r w:rsidRPr="00AC076A">
        <w:rPr>
          <w:sz w:val="24"/>
          <w:szCs w:val="24"/>
        </w:rPr>
        <w:t xml:space="preserve">Приложение № </w:t>
      </w:r>
      <w:r w:rsidR="00230D0F">
        <w:rPr>
          <w:sz w:val="24"/>
          <w:szCs w:val="24"/>
        </w:rPr>
        <w:t>8</w:t>
      </w:r>
      <w:r w:rsidRPr="00AC076A">
        <w:rPr>
          <w:sz w:val="24"/>
          <w:szCs w:val="24"/>
        </w:rPr>
        <w:t xml:space="preserve"> к Учетной политике изложить в </w:t>
      </w:r>
      <w:r w:rsidR="00230D0F">
        <w:rPr>
          <w:sz w:val="24"/>
          <w:szCs w:val="24"/>
        </w:rPr>
        <w:t>новой</w:t>
      </w:r>
      <w:r w:rsidRPr="00AC076A">
        <w:rPr>
          <w:sz w:val="24"/>
          <w:szCs w:val="24"/>
        </w:rPr>
        <w:t xml:space="preserve"> редакции:</w:t>
      </w:r>
    </w:p>
    <w:p w:rsidR="00230D0F" w:rsidRDefault="00230D0F" w:rsidP="00BF4DD3">
      <w:pPr>
        <w:pStyle w:val="aa"/>
        <w:rPr>
          <w:sz w:val="24"/>
          <w:szCs w:val="24"/>
        </w:rPr>
      </w:pPr>
    </w:p>
    <w:p w:rsidR="00230D0F" w:rsidRPr="001429C9" w:rsidRDefault="00230D0F" w:rsidP="00230D0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429C9">
        <w:rPr>
          <w:b/>
          <w:bCs/>
          <w:sz w:val="24"/>
          <w:szCs w:val="24"/>
        </w:rPr>
        <w:t>Положение о комиссии по поступлению и выбытию активов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230D0F">
        <w:rPr>
          <w:b/>
          <w:bCs/>
          <w:sz w:val="24"/>
          <w:szCs w:val="24"/>
        </w:rPr>
        <w:t>1. Общие положения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36F89" w:rsidRDefault="00230D0F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1.1. </w:t>
      </w:r>
      <w:r w:rsidR="00D36F89">
        <w:rPr>
          <w:sz w:val="24"/>
          <w:szCs w:val="24"/>
        </w:rPr>
        <w:t>Основными нормативными правовыми актами, использованными при разработке настоящего Положения, являются:</w:t>
      </w:r>
    </w:p>
    <w:p w:rsidR="00B5205B" w:rsidRDefault="00D36F89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- Инструкция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7F7EF7">
        <w:rPr>
          <w:sz w:val="24"/>
          <w:szCs w:val="24"/>
        </w:rPr>
        <w:t>, утвержденная Приказом Минфина РФ от 01.12.2010 № 157н</w:t>
      </w:r>
      <w:r w:rsidR="00B5205B">
        <w:rPr>
          <w:sz w:val="24"/>
          <w:szCs w:val="24"/>
        </w:rPr>
        <w:t>;</w:t>
      </w:r>
    </w:p>
    <w:p w:rsidR="007F7EF7" w:rsidRDefault="007F7EF7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- 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РФ от 31.12.2016 № 256н;</w:t>
      </w:r>
    </w:p>
    <w:p w:rsidR="00B5205B" w:rsidRDefault="00B5205B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- Федеральный стандарт бухгалтерского учета для организаций государственного сектора «Основные средства», утвержденный Приказом Минфина РФ от 31.12.2016 № 257н;</w:t>
      </w:r>
    </w:p>
    <w:p w:rsidR="00B5205B" w:rsidRDefault="00B5205B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- Федеральный стандарт бухгалтерского учета для организаций государственного сектора «Аренда», утвержденный Приказом Минфина РФ от 31.12.2016 № 258н;</w:t>
      </w:r>
    </w:p>
    <w:p w:rsidR="00230D0F" w:rsidRPr="00230D0F" w:rsidRDefault="00B5205B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Федеральный стандарт бухгалтерского учета для организаций государственного сектора «Обесценение активов», утвержденный Приказом Минфина РФ от 31.12.2016 № 259н. </w:t>
      </w:r>
    </w:p>
    <w:p w:rsidR="00230D0F" w:rsidRPr="00230D0F" w:rsidRDefault="00230D0F" w:rsidP="00B5205B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1.2. </w:t>
      </w:r>
      <w:r w:rsidR="00B5205B" w:rsidRPr="00230D0F">
        <w:rPr>
          <w:sz w:val="24"/>
          <w:szCs w:val="24"/>
        </w:rPr>
        <w:t xml:space="preserve">Состав комиссии по поступлению и выбытию активов (далее - комиссия) </w:t>
      </w:r>
      <w:r w:rsidR="00B5205B">
        <w:rPr>
          <w:sz w:val="24"/>
          <w:szCs w:val="24"/>
        </w:rPr>
        <w:t>приведен в Приложении № 1 к Положению о комиссии по поступлению и выбытию активов</w:t>
      </w:r>
      <w:r w:rsidR="00B5205B" w:rsidRPr="00230D0F">
        <w:rPr>
          <w:sz w:val="24"/>
          <w:szCs w:val="24"/>
        </w:rPr>
        <w:t>.</w:t>
      </w:r>
      <w:r w:rsidR="00B5205B">
        <w:rPr>
          <w:sz w:val="24"/>
          <w:szCs w:val="24"/>
        </w:rPr>
        <w:t xml:space="preserve"> </w:t>
      </w:r>
      <w:r w:rsidRPr="00230D0F">
        <w:rPr>
          <w:sz w:val="24"/>
          <w:szCs w:val="24"/>
        </w:rPr>
        <w:t xml:space="preserve">Комиссию возглавляет председатель, который осуществляет общее руководство </w:t>
      </w:r>
      <w:r w:rsidRPr="00230D0F">
        <w:rPr>
          <w:sz w:val="24"/>
          <w:szCs w:val="24"/>
        </w:rPr>
        <w:lastRenderedPageBreak/>
        <w:t>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1.3. Заседания комиссии проводятся по мере необходимости.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1.4. Срок рассмотрения комиссией представленных ей документов не должен превышать 14 календарных дней.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1.5. Заседание комиссии правомочно при наличии на ее заседании не менее 2/3 членов ее состава.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1.6. В случае отсутствия в </w:t>
      </w:r>
      <w:r w:rsidR="00B5205B">
        <w:rPr>
          <w:sz w:val="24"/>
          <w:szCs w:val="24"/>
        </w:rPr>
        <w:t>учреждении</w:t>
      </w:r>
      <w:r w:rsidRPr="00230D0F">
        <w:rPr>
          <w:sz w:val="24"/>
          <w:szCs w:val="24"/>
        </w:rPr>
        <w:t xml:space="preserve"> должностных лиц,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  <w:r w:rsidR="00B53C8E">
        <w:rPr>
          <w:sz w:val="24"/>
          <w:szCs w:val="24"/>
        </w:rPr>
        <w:t xml:space="preserve"> Если договором, заключенным с экспертом, участвующим в работе комиссии, предусмотрена возмездность оказания услуг эксперта, оплата его труда осуществляется в пределах выделенных бюджетных ассигнований. 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1.7. Экспертом не может быть материально ответственное лицо </w:t>
      </w:r>
      <w:r w:rsidR="00B53C8E">
        <w:rPr>
          <w:sz w:val="24"/>
          <w:szCs w:val="24"/>
        </w:rPr>
        <w:t>учреждения</w:t>
      </w:r>
      <w:r w:rsidRPr="00230D0F">
        <w:rPr>
          <w:sz w:val="24"/>
          <w:szCs w:val="24"/>
        </w:rPr>
        <w:t>, на которое возложена ответственность за материальные ценности, в отношении которых принимается решение о списании.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1.8.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230D0F">
        <w:rPr>
          <w:b/>
          <w:bCs/>
          <w:sz w:val="24"/>
          <w:szCs w:val="24"/>
        </w:rPr>
        <w:t>2. Принятие решений по поступлению активов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2.1. В части поступления активов комиссия принимает решения по следующим вопросам: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определение категории нефинансовых активов (основные средства, материальные запасы), к которой относится поступившее имущество;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определение справедливой стоимости безвозмездно полученного имущества;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определение первоначальной стоимости поступивших объектов нефинансовых активов;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определение срока полезного использования имущества в целях начисления по ним амортизации в случаях отсутствия информации в законодательстве РФ и документах производителя;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определение размера резерва для оплаты фактически осуществленных на отчетную дату затрат, по которым не поступили документы контрагентов;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дооборудования, реконструкции или модернизации.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lastRenderedPageBreak/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бюджетному учету.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бюджетному учету.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Справедливая стоимость имущества определяется комиссией по поступлению и выбытию активов методом рыночных цен, а при невозможности использования этого метода - методом амортизированной стоимости замещения.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2.4. В случае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Прием объектов основных средств из ремонта, реконструкции, модернизации комиссией оформляется Актом приема-сдачи отремонтированных, реконструированных и модернизированных объектов основных средств</w:t>
      </w:r>
      <w:r w:rsidR="00217171">
        <w:rPr>
          <w:sz w:val="24"/>
          <w:szCs w:val="24"/>
        </w:rPr>
        <w:t xml:space="preserve"> (ф.0504103).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</w:t>
      </w:r>
      <w:r w:rsidR="00217171">
        <w:rPr>
          <w:sz w:val="24"/>
          <w:szCs w:val="24"/>
        </w:rPr>
        <w:t xml:space="preserve"> (ф.0504103).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2.5. Поступление нефинансовых активов оформляется комиссией следующими первичными учетными документами: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о приеме-передаче объектов нефинансовых активов</w:t>
      </w:r>
      <w:r w:rsidR="00217171">
        <w:rPr>
          <w:sz w:val="24"/>
          <w:szCs w:val="24"/>
        </w:rPr>
        <w:t xml:space="preserve"> (ф.0504101);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Приходным ордером на приемку материальных ценностей (нефинансовых активов)</w:t>
      </w:r>
      <w:r w:rsidR="00217171">
        <w:rPr>
          <w:sz w:val="24"/>
          <w:szCs w:val="24"/>
        </w:rPr>
        <w:t xml:space="preserve"> (ф.0504207);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приемки материалов (материальных ценностей)</w:t>
      </w:r>
      <w:r w:rsidR="00217171">
        <w:rPr>
          <w:sz w:val="24"/>
          <w:szCs w:val="24"/>
        </w:rPr>
        <w:t xml:space="preserve"> (ф.0504220).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</w:t>
      </w:r>
      <w:r w:rsidR="00217171">
        <w:rPr>
          <w:sz w:val="24"/>
          <w:szCs w:val="24"/>
        </w:rPr>
        <w:t>го</w:t>
      </w:r>
      <w:r w:rsidRPr="00230D0F">
        <w:rPr>
          <w:sz w:val="24"/>
          <w:szCs w:val="24"/>
        </w:rPr>
        <w:t xml:space="preserve">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2.7.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политикой.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230D0F">
        <w:rPr>
          <w:b/>
          <w:bCs/>
          <w:sz w:val="24"/>
          <w:szCs w:val="24"/>
        </w:rPr>
        <w:t>3. Принятие решений по выбытию (списанию) активов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30D0F">
        <w:rPr>
          <w:b/>
          <w:bCs/>
          <w:sz w:val="24"/>
          <w:szCs w:val="24"/>
        </w:rPr>
        <w:t>и списанию задолженности неплатежеспособных дебиторов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lastRenderedPageBreak/>
        <w:t>3.1. В части выбытия (списания) активов и задолженности комиссия принимает решения по следующим вопросам: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 выбытии (списании)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возможности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частичной ликвидации (разукомплектации) основных средств;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пригодности дальнейшего использования имущества, возможности и эффективности его восстановления;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- списании задолженности неплатежеспособных дебиторов, а также списании с </w:t>
      </w:r>
      <w:proofErr w:type="spellStart"/>
      <w:r w:rsidRPr="00230D0F">
        <w:rPr>
          <w:sz w:val="24"/>
          <w:szCs w:val="24"/>
        </w:rPr>
        <w:t>забалансового</w:t>
      </w:r>
      <w:proofErr w:type="spellEnd"/>
      <w:r w:rsidRPr="00230D0F">
        <w:rPr>
          <w:sz w:val="24"/>
          <w:szCs w:val="24"/>
        </w:rPr>
        <w:t xml:space="preserve"> учета задолженности, признанной безнадежной к взысканию.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3.2. Решение о выбытии имущества </w:t>
      </w:r>
      <w:r w:rsidR="001429C9">
        <w:rPr>
          <w:sz w:val="24"/>
          <w:szCs w:val="24"/>
        </w:rPr>
        <w:t>учреждения</w:t>
      </w:r>
      <w:r w:rsidRPr="00230D0F">
        <w:rPr>
          <w:sz w:val="24"/>
          <w:szCs w:val="24"/>
        </w:rPr>
        <w:t xml:space="preserve"> принимается: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если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если имущество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также при невозможности выяснения его местонахождения;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если имущество передается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в других случаях, предусмотренных законодательством РФ.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3.3. Решение о списании имущества принимается комиссией после проведения следующих мероприятий: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установление виновных лиц, действия которых привели к необходимости списания имущества до истечения срока его полезного использования;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подготовка документов, необходимых для принятия решения о списании имущества.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 w:rsidRPr="00230D0F">
        <w:rPr>
          <w:sz w:val="24"/>
          <w:szCs w:val="24"/>
        </w:rPr>
        <w:t>забалансовый</w:t>
      </w:r>
      <w:proofErr w:type="spellEnd"/>
      <w:r w:rsidRPr="00230D0F">
        <w:rPr>
          <w:sz w:val="24"/>
          <w:szCs w:val="24"/>
        </w:rPr>
        <w:t xml:space="preserve"> учет.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lastRenderedPageBreak/>
        <w:t xml:space="preserve">Решение о списании задолженности с </w:t>
      </w:r>
      <w:proofErr w:type="spellStart"/>
      <w:r w:rsidRPr="00230D0F">
        <w:rPr>
          <w:sz w:val="24"/>
          <w:szCs w:val="24"/>
        </w:rPr>
        <w:t>забалансового</w:t>
      </w:r>
      <w:proofErr w:type="spellEnd"/>
      <w:r w:rsidRPr="00230D0F">
        <w:rPr>
          <w:sz w:val="24"/>
          <w:szCs w:val="24"/>
        </w:rPr>
        <w:t xml:space="preserve"> счета 04 принимается комиссией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3.5. Выбытие (списание) нефинансовых активов оформляется следующими документами: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о приеме-передаче объектов нефинансовых активов</w:t>
      </w:r>
      <w:r w:rsidR="00217171">
        <w:rPr>
          <w:sz w:val="24"/>
          <w:szCs w:val="24"/>
        </w:rPr>
        <w:t xml:space="preserve"> (ф.0504101);</w:t>
      </w:r>
    </w:p>
    <w:p w:rsidR="00217171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о списании объектов нефинансовых активов (кроме транспортных средств)</w:t>
      </w:r>
      <w:r w:rsidR="00217171">
        <w:rPr>
          <w:sz w:val="24"/>
          <w:szCs w:val="24"/>
        </w:rPr>
        <w:t xml:space="preserve"> </w:t>
      </w:r>
    </w:p>
    <w:p w:rsidR="00217171" w:rsidRDefault="00217171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( ф.0504104);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о списании мягкого и хозяйственного инвентаря</w:t>
      </w:r>
      <w:r w:rsidR="00217171">
        <w:rPr>
          <w:sz w:val="24"/>
          <w:szCs w:val="24"/>
        </w:rPr>
        <w:t xml:space="preserve"> (ф.0504143);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- Актом о списании материальных запасов</w:t>
      </w:r>
      <w:r w:rsidR="00217171">
        <w:rPr>
          <w:sz w:val="24"/>
          <w:szCs w:val="24"/>
        </w:rPr>
        <w:t xml:space="preserve"> (ф.0504230).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3.6. Оформленный комиссией акт о списании имущества утверждается </w:t>
      </w:r>
      <w:r w:rsidR="001429C9">
        <w:rPr>
          <w:sz w:val="24"/>
          <w:szCs w:val="24"/>
        </w:rPr>
        <w:t>руководителем учреждения.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3.7. До утверждения в установленном порядке акта о списании реализация мероприятий, предусмотренных этим актом, не допускается.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Реализация таких мероприятий осуществляется </w:t>
      </w:r>
      <w:r w:rsidR="001429C9">
        <w:rPr>
          <w:sz w:val="24"/>
          <w:szCs w:val="24"/>
        </w:rPr>
        <w:t>учреждением</w:t>
      </w:r>
      <w:r w:rsidRPr="00230D0F">
        <w:rPr>
          <w:sz w:val="24"/>
          <w:szCs w:val="24"/>
        </w:rPr>
        <w:t xml:space="preserve"> самостоятельно либо с привлечением третьих лиц на основании заключенного договора и подтверждается комиссией.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 w:rsidRPr="00230D0F">
        <w:rPr>
          <w:b/>
          <w:bCs/>
          <w:sz w:val="24"/>
          <w:szCs w:val="24"/>
        </w:rPr>
        <w:t>4. Принятие решений по вопросам обесценения активов</w:t>
      </w: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30D0F" w:rsidRPr="00230D0F" w:rsidRDefault="00230D0F" w:rsidP="00230D0F">
      <w:pPr>
        <w:autoSpaceDE w:val="0"/>
        <w:autoSpaceDN w:val="0"/>
        <w:adjustRightInd w:val="0"/>
        <w:spacing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4.2.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4.4. В случае необходимости определения справедливой стоимости комиссия определяет метод, которым будет определяться справедливая стоимость актива.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4.5. Заключение о необходимости (отсутствии необходимости) определения справедливой стоимости и о методе определения справедливой стоимости оформляется в виде представления для </w:t>
      </w:r>
      <w:r w:rsidR="001429C9">
        <w:rPr>
          <w:sz w:val="24"/>
          <w:szCs w:val="24"/>
        </w:rPr>
        <w:t>руководителя учреждения</w:t>
      </w:r>
      <w:r w:rsidRPr="00230D0F">
        <w:rPr>
          <w:sz w:val="24"/>
          <w:szCs w:val="24"/>
        </w:rPr>
        <w:t>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>4.6. В представление также могут быть включены рекомендации комиссии по дальнейшему использованию имущества.</w:t>
      </w:r>
    </w:p>
    <w:p w:rsidR="00230D0F" w:rsidRPr="00230D0F" w:rsidRDefault="00230D0F" w:rsidP="00230D0F">
      <w:pPr>
        <w:autoSpaceDE w:val="0"/>
        <w:autoSpaceDN w:val="0"/>
        <w:adjustRightInd w:val="0"/>
        <w:spacing w:before="200" w:after="0" w:line="240" w:lineRule="auto"/>
        <w:ind w:firstLine="540"/>
        <w:rPr>
          <w:sz w:val="24"/>
          <w:szCs w:val="24"/>
        </w:rPr>
      </w:pPr>
      <w:r w:rsidRPr="00230D0F">
        <w:rPr>
          <w:sz w:val="24"/>
          <w:szCs w:val="24"/>
        </w:rPr>
        <w:t xml:space="preserve">4.7.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</w:t>
      </w:r>
      <w:r w:rsidRPr="00230D0F">
        <w:rPr>
          <w:sz w:val="24"/>
          <w:szCs w:val="24"/>
        </w:rPr>
        <w:lastRenderedPageBreak/>
        <w:t xml:space="preserve">(отсутствии необходимости) корректировки оставшегося срока полезного использования актива. Это заключение оформляется в виде представления для </w:t>
      </w:r>
      <w:r w:rsidR="001429C9">
        <w:rPr>
          <w:sz w:val="24"/>
          <w:szCs w:val="24"/>
        </w:rPr>
        <w:t>руководителя учреждения</w:t>
      </w:r>
      <w:r w:rsidRPr="00230D0F">
        <w:rPr>
          <w:sz w:val="24"/>
          <w:szCs w:val="24"/>
        </w:rPr>
        <w:t>.</w:t>
      </w:r>
    </w:p>
    <w:p w:rsidR="00230D0F" w:rsidRDefault="00230D0F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Контроль за исполнением настоящего приказа возложить на </w:t>
      </w:r>
      <w:r w:rsidR="00887D03">
        <w:rPr>
          <w:sz w:val="24"/>
          <w:szCs w:val="24"/>
        </w:rPr>
        <w:t>начальника отдела бухгалтерского учета и отчетности, главного бухгалтера</w:t>
      </w:r>
      <w:r w:rsidR="004D6933">
        <w:rPr>
          <w:sz w:val="24"/>
          <w:szCs w:val="24"/>
        </w:rPr>
        <w:t xml:space="preserve"> Ракитину Е.М.</w:t>
      </w: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4D6933" w:rsidRDefault="004D693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Default="00BF4DD3" w:rsidP="00BF4DD3">
      <w:pPr>
        <w:pStyle w:val="aa"/>
        <w:rPr>
          <w:sz w:val="24"/>
          <w:szCs w:val="24"/>
        </w:rPr>
      </w:pP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Заместитель главы администрации района, </w:t>
      </w:r>
    </w:p>
    <w:p w:rsidR="00BF4DD3" w:rsidRPr="00BF4DD3" w:rsidRDefault="00BF4DD3" w:rsidP="00BF4DD3">
      <w:pPr>
        <w:pStyle w:val="aa"/>
        <w:rPr>
          <w:sz w:val="24"/>
          <w:szCs w:val="24"/>
        </w:rPr>
      </w:pPr>
      <w:r w:rsidRPr="00BF4DD3">
        <w:rPr>
          <w:sz w:val="24"/>
          <w:szCs w:val="24"/>
        </w:rPr>
        <w:t xml:space="preserve">начальник финансового управления 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BF4DD3" w:rsidRPr="00BF4DD3" w:rsidRDefault="00BF4DD3" w:rsidP="00BF4DD3">
      <w:pPr>
        <w:rPr>
          <w:sz w:val="24"/>
          <w:szCs w:val="24"/>
        </w:rPr>
      </w:pPr>
    </w:p>
    <w:p w:rsidR="00AC2B77" w:rsidRDefault="00AC2B77"/>
    <w:p w:rsidR="00AC2B77" w:rsidRDefault="00AC2B77"/>
    <w:p w:rsidR="00050DE0" w:rsidRDefault="00050DE0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p w:rsidR="001429C9" w:rsidRDefault="001429C9" w:rsidP="001429C9">
      <w:pPr>
        <w:pStyle w:val="aa"/>
        <w:jc w:val="right"/>
      </w:pPr>
      <w:r>
        <w:lastRenderedPageBreak/>
        <w:t>Приложение № 1</w:t>
      </w:r>
    </w:p>
    <w:p w:rsidR="001429C9" w:rsidRDefault="001429C9" w:rsidP="001429C9">
      <w:pPr>
        <w:pStyle w:val="aa"/>
        <w:jc w:val="center"/>
      </w:pPr>
      <w:r>
        <w:t xml:space="preserve">                                                                                  к Положению о комиссии </w:t>
      </w:r>
    </w:p>
    <w:p w:rsidR="001429C9" w:rsidRDefault="001429C9" w:rsidP="001429C9">
      <w:pPr>
        <w:pStyle w:val="aa"/>
        <w:jc w:val="right"/>
      </w:pPr>
      <w:r>
        <w:t>по поступлению и выбытию активов</w:t>
      </w:r>
    </w:p>
    <w:p w:rsidR="001429C9" w:rsidRDefault="001429C9" w:rsidP="001429C9">
      <w:pPr>
        <w:pStyle w:val="aa"/>
        <w:jc w:val="right"/>
      </w:pPr>
    </w:p>
    <w:p w:rsidR="00115FEE" w:rsidRDefault="00115FEE" w:rsidP="001429C9">
      <w:pPr>
        <w:pStyle w:val="aa"/>
        <w:jc w:val="right"/>
      </w:pPr>
    </w:p>
    <w:p w:rsidR="001429C9" w:rsidRDefault="001429C9" w:rsidP="001429C9">
      <w:pPr>
        <w:pStyle w:val="aa"/>
        <w:jc w:val="right"/>
      </w:pPr>
      <w:r>
        <w:t>УТВЕРЖДАЮ</w:t>
      </w:r>
      <w:r w:rsidR="00115FEE">
        <w:t>:</w:t>
      </w:r>
    </w:p>
    <w:p w:rsidR="00115FEE" w:rsidRDefault="00115FEE" w:rsidP="001429C9">
      <w:pPr>
        <w:pStyle w:val="aa"/>
        <w:jc w:val="right"/>
      </w:pPr>
    </w:p>
    <w:p w:rsidR="00115FEE" w:rsidRDefault="00115FEE" w:rsidP="00115FEE">
      <w:pPr>
        <w:pStyle w:val="aa"/>
        <w:jc w:val="center"/>
      </w:pPr>
      <w:r>
        <w:t xml:space="preserve">                                                                                                  </w:t>
      </w:r>
      <w:proofErr w:type="spellStart"/>
      <w:r>
        <w:t>Зам.главы</w:t>
      </w:r>
      <w:proofErr w:type="spellEnd"/>
      <w:r>
        <w:t xml:space="preserve"> администрации района,</w:t>
      </w:r>
    </w:p>
    <w:p w:rsidR="00115FEE" w:rsidRDefault="00115FEE" w:rsidP="001429C9">
      <w:pPr>
        <w:pStyle w:val="aa"/>
        <w:jc w:val="right"/>
      </w:pPr>
      <w:r>
        <w:t>начальник финансового управления</w:t>
      </w:r>
    </w:p>
    <w:p w:rsidR="00115FEE" w:rsidRDefault="00115FEE" w:rsidP="001429C9">
      <w:pPr>
        <w:pStyle w:val="aa"/>
        <w:jc w:val="right"/>
      </w:pPr>
    </w:p>
    <w:p w:rsidR="00115FEE" w:rsidRDefault="00115FEE" w:rsidP="001429C9">
      <w:pPr>
        <w:pStyle w:val="aa"/>
        <w:jc w:val="right"/>
      </w:pPr>
      <w:r>
        <w:t xml:space="preserve">___________________ </w:t>
      </w:r>
      <w:proofErr w:type="spellStart"/>
      <w:r>
        <w:t>И.Н.Зорина</w:t>
      </w:r>
      <w:proofErr w:type="spellEnd"/>
    </w:p>
    <w:p w:rsidR="00115FEE" w:rsidRDefault="00115FEE" w:rsidP="001429C9">
      <w:pPr>
        <w:pStyle w:val="aa"/>
        <w:jc w:val="right"/>
      </w:pPr>
    </w:p>
    <w:p w:rsidR="00115FEE" w:rsidRDefault="00115FEE" w:rsidP="001429C9">
      <w:pPr>
        <w:pStyle w:val="aa"/>
        <w:jc w:val="right"/>
      </w:pPr>
    </w:p>
    <w:p w:rsidR="00115FEE" w:rsidRDefault="00115FEE" w:rsidP="001429C9">
      <w:pPr>
        <w:pStyle w:val="aa"/>
        <w:jc w:val="right"/>
      </w:pP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 xml:space="preserve">           Состав комиссии по поступлению и выбытию активов: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>Председатель комиссии: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 xml:space="preserve">Зорина И.Н. – </w:t>
      </w:r>
      <w:proofErr w:type="spellStart"/>
      <w:r>
        <w:t>зам.главы</w:t>
      </w:r>
      <w:proofErr w:type="spellEnd"/>
      <w:r>
        <w:t xml:space="preserve"> администрации района,</w:t>
      </w:r>
    </w:p>
    <w:p w:rsidR="00115FEE" w:rsidRDefault="00115FEE" w:rsidP="00115FEE">
      <w:pPr>
        <w:pStyle w:val="aa"/>
        <w:jc w:val="both"/>
      </w:pPr>
      <w:r>
        <w:t xml:space="preserve">                        начальник финансового управления    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>Члены комиссии: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>Ракитина Е.М. – начальник отдела бухгалтерского учета</w:t>
      </w:r>
    </w:p>
    <w:p w:rsidR="00115FEE" w:rsidRDefault="00115FEE" w:rsidP="00115FEE">
      <w:pPr>
        <w:pStyle w:val="aa"/>
        <w:jc w:val="both"/>
      </w:pPr>
      <w:r>
        <w:t xml:space="preserve">                           и отчетности-главный бухгалтер 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>Пысина М.В. – главный специалист по контролю</w:t>
      </w:r>
    </w:p>
    <w:p w:rsidR="00115FEE" w:rsidRDefault="00115FEE" w:rsidP="00115FEE">
      <w:pPr>
        <w:pStyle w:val="aa"/>
        <w:jc w:val="both"/>
      </w:pPr>
    </w:p>
    <w:p w:rsidR="00115FEE" w:rsidRDefault="00115FEE" w:rsidP="00115FEE">
      <w:pPr>
        <w:pStyle w:val="aa"/>
        <w:jc w:val="both"/>
      </w:pPr>
      <w:r>
        <w:t xml:space="preserve">Сюткин К.О. – старший инспектор по </w:t>
      </w:r>
    </w:p>
    <w:p w:rsidR="00115FEE" w:rsidRDefault="00115FEE" w:rsidP="00115FEE">
      <w:pPr>
        <w:pStyle w:val="aa"/>
        <w:jc w:val="both"/>
      </w:pPr>
      <w:r>
        <w:t xml:space="preserve">                         </w:t>
      </w:r>
      <w:r w:rsidR="007F7EF7">
        <w:t>информационным технологиям</w:t>
      </w:r>
      <w:r>
        <w:t xml:space="preserve">             </w:t>
      </w:r>
    </w:p>
    <w:sectPr w:rsidR="00115FEE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7F" w:rsidRDefault="0091057F">
      <w:pPr>
        <w:spacing w:before="0" w:after="0" w:line="240" w:lineRule="auto"/>
      </w:pPr>
      <w:r>
        <w:separator/>
      </w:r>
    </w:p>
  </w:endnote>
  <w:endnote w:type="continuationSeparator" w:id="0">
    <w:p w:rsidR="0091057F" w:rsidRDefault="009105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7F" w:rsidRDefault="0091057F">
      <w:pPr>
        <w:spacing w:before="0" w:after="0" w:line="240" w:lineRule="auto"/>
      </w:pPr>
      <w:r>
        <w:separator/>
      </w:r>
    </w:p>
  </w:footnote>
  <w:footnote w:type="continuationSeparator" w:id="0">
    <w:p w:rsidR="0091057F" w:rsidRDefault="009105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7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877CE"/>
    <w:rsid w:val="000A2B04"/>
    <w:rsid w:val="00115FEE"/>
    <w:rsid w:val="001249A1"/>
    <w:rsid w:val="001429C9"/>
    <w:rsid w:val="00197175"/>
    <w:rsid w:val="0021199A"/>
    <w:rsid w:val="00217171"/>
    <w:rsid w:val="00230927"/>
    <w:rsid w:val="00230D0F"/>
    <w:rsid w:val="002D3EE6"/>
    <w:rsid w:val="00302A74"/>
    <w:rsid w:val="00393928"/>
    <w:rsid w:val="00396841"/>
    <w:rsid w:val="00411960"/>
    <w:rsid w:val="00437EA0"/>
    <w:rsid w:val="004D449A"/>
    <w:rsid w:val="004D6933"/>
    <w:rsid w:val="00523696"/>
    <w:rsid w:val="00525C66"/>
    <w:rsid w:val="00567E22"/>
    <w:rsid w:val="00593865"/>
    <w:rsid w:val="005E6D85"/>
    <w:rsid w:val="005E723F"/>
    <w:rsid w:val="00625590"/>
    <w:rsid w:val="006628F1"/>
    <w:rsid w:val="00664138"/>
    <w:rsid w:val="006F18EC"/>
    <w:rsid w:val="00726260"/>
    <w:rsid w:val="00736071"/>
    <w:rsid w:val="007E2865"/>
    <w:rsid w:val="007F7EF7"/>
    <w:rsid w:val="00823731"/>
    <w:rsid w:val="00827D1B"/>
    <w:rsid w:val="00881316"/>
    <w:rsid w:val="00887D03"/>
    <w:rsid w:val="008A5E03"/>
    <w:rsid w:val="008C699B"/>
    <w:rsid w:val="008F172A"/>
    <w:rsid w:val="0091057F"/>
    <w:rsid w:val="009135D7"/>
    <w:rsid w:val="00960F60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83F30"/>
    <w:rsid w:val="00A94EB4"/>
    <w:rsid w:val="00AA51A0"/>
    <w:rsid w:val="00AC076A"/>
    <w:rsid w:val="00AC2B77"/>
    <w:rsid w:val="00B5205B"/>
    <w:rsid w:val="00B53C8E"/>
    <w:rsid w:val="00B670D0"/>
    <w:rsid w:val="00B7277A"/>
    <w:rsid w:val="00B7576A"/>
    <w:rsid w:val="00BA1B69"/>
    <w:rsid w:val="00BB54D3"/>
    <w:rsid w:val="00BD053F"/>
    <w:rsid w:val="00BD4D2E"/>
    <w:rsid w:val="00BF4DD3"/>
    <w:rsid w:val="00C21F75"/>
    <w:rsid w:val="00C25AF6"/>
    <w:rsid w:val="00C95107"/>
    <w:rsid w:val="00C957FC"/>
    <w:rsid w:val="00CF1443"/>
    <w:rsid w:val="00D01105"/>
    <w:rsid w:val="00D36F89"/>
    <w:rsid w:val="00DA2E82"/>
    <w:rsid w:val="00DC6C69"/>
    <w:rsid w:val="00DC7B56"/>
    <w:rsid w:val="00DD2AE8"/>
    <w:rsid w:val="00DE6EF1"/>
    <w:rsid w:val="00DE7B13"/>
    <w:rsid w:val="00E865CB"/>
    <w:rsid w:val="00EA5537"/>
    <w:rsid w:val="00EE37AB"/>
    <w:rsid w:val="00F5533E"/>
    <w:rsid w:val="00F60CE7"/>
    <w:rsid w:val="00F958A7"/>
    <w:rsid w:val="00FB3343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0038-5246-405F-8061-C9C79248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25</cp:revision>
  <cp:lastPrinted>2020-11-20T11:44:00Z</cp:lastPrinted>
  <dcterms:created xsi:type="dcterms:W3CDTF">2019-11-15T07:53:00Z</dcterms:created>
  <dcterms:modified xsi:type="dcterms:W3CDTF">2021-02-19T05:00:00Z</dcterms:modified>
</cp:coreProperties>
</file>