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CellMar>
          <w:left w:w="0" w:type="dxa"/>
          <w:right w:w="0" w:type="dxa"/>
        </w:tblCellMar>
        <w:tblLook w:val="04A0" w:firstRow="1" w:lastRow="0" w:firstColumn="1" w:lastColumn="0" w:noHBand="0" w:noVBand="1"/>
      </w:tblPr>
      <w:tblGrid>
        <w:gridCol w:w="10190"/>
      </w:tblGrid>
      <w:tr w:rsidR="002308CB">
        <w:tc>
          <w:tcPr>
            <w:tcW w:w="10772" w:type="dxa"/>
            <w:tcBorders>
              <w:top w:val="nil"/>
              <w:left w:val="nil"/>
              <w:bottom w:val="nil"/>
              <w:right w:val="nil"/>
            </w:tcBorders>
            <w:tcMar>
              <w:top w:w="0" w:type="dxa"/>
              <w:left w:w="108" w:type="dxa"/>
              <w:bottom w:w="0" w:type="dxa"/>
              <w:right w:w="108" w:type="dxa"/>
            </w:tcMar>
            <w:hideMark/>
          </w:tcPr>
          <w:p w:rsidR="002308CB" w:rsidRDefault="007B0681">
            <w:pPr>
              <w:jc w:val="right"/>
              <w:rPr>
                <w:rFonts w:ascii="Times New Roman" w:eastAsia="Times New Roman" w:hAnsi="Times New Roman" w:cs="Times New Roman"/>
                <w:sz w:val="24"/>
              </w:rPr>
            </w:pPr>
            <w:bookmarkStart w:id="0" w:name="_GoBack"/>
            <w:bookmarkEnd w:id="0"/>
            <w:r>
              <w:rPr>
                <w:rFonts w:ascii="Times New Roman" w:eastAsia="Times New Roman" w:hAnsi="Times New Roman" w:cs="Times New Roman"/>
                <w:sz w:val="20"/>
                <w:szCs w:val="20"/>
              </w:rPr>
              <w:t> </w:t>
            </w:r>
          </w:p>
        </w:tc>
      </w:tr>
    </w:tbl>
    <w:p w:rsidR="002308CB" w:rsidRDefault="007B0681">
      <w:pPr>
        <w:rPr>
          <w:rFonts w:ascii="Times New Roman" w:eastAsia="Times New Roman" w:hAnsi="Times New Roman" w:cs="Times New Roman"/>
          <w:sz w:val="24"/>
        </w:rPr>
      </w:pPr>
      <w:r>
        <w:rPr>
          <w:rFonts w:ascii="Times New Roman" w:eastAsia="Times New Roman" w:hAnsi="Times New Roman" w:cs="Times New Roman"/>
          <w:vanish/>
          <w:sz w:val="24"/>
          <w:szCs w:val="24"/>
        </w:rPr>
        <w:t> </w:t>
      </w:r>
    </w:p>
    <w:tbl>
      <w:tblPr>
        <w:tblW w:w="10123" w:type="dxa"/>
        <w:tblInd w:w="93" w:type="dxa"/>
        <w:tblBorders>
          <w:top w:val="nil"/>
          <w:left w:val="nil"/>
          <w:bottom w:val="nil"/>
          <w:right w:val="nil"/>
        </w:tblBorders>
        <w:tblCellMar>
          <w:left w:w="0" w:type="dxa"/>
          <w:right w:w="0" w:type="dxa"/>
        </w:tblCellMar>
        <w:tblLook w:val="04A0" w:firstRow="1" w:lastRow="0" w:firstColumn="1" w:lastColumn="0" w:noHBand="0" w:noVBand="1"/>
      </w:tblPr>
      <w:tblGrid>
        <w:gridCol w:w="5940"/>
        <w:gridCol w:w="222"/>
        <w:gridCol w:w="1500"/>
        <w:gridCol w:w="2461"/>
      </w:tblGrid>
      <w:tr w:rsidR="002308CB">
        <w:trPr>
          <w:trHeight w:val="270"/>
        </w:trPr>
        <w:tc>
          <w:tcPr>
            <w:tcW w:w="5940" w:type="dxa"/>
            <w:noWrap/>
            <w:tcMar>
              <w:top w:w="0" w:type="dxa"/>
              <w:left w:w="108" w:type="dxa"/>
              <w:bottom w:w="0" w:type="dxa"/>
              <w:right w:w="108" w:type="dxa"/>
            </w:tcMar>
            <w:vAlign w:val="bottom"/>
            <w:hideMark/>
          </w:tcPr>
          <w:p w:rsidR="002308CB" w:rsidRDefault="007B0681">
            <w:pPr>
              <w:jc w:val="center"/>
              <w:rPr>
                <w:rFonts w:ascii="Times New Roman" w:eastAsia="Times New Roman" w:hAnsi="Times New Roman" w:cs="Times New Roman"/>
                <w:sz w:val="24"/>
              </w:rPr>
            </w:pPr>
            <w:r>
              <w:rPr>
                <w:rFonts w:ascii="Times New Roman" w:eastAsia="Times New Roman" w:hAnsi="Times New Roman" w:cs="Times New Roman"/>
                <w:b/>
                <w:sz w:val="20"/>
                <w:szCs w:val="20"/>
              </w:rPr>
              <w:t>ПОЯСНИТЕЛЬНАЯ ЗАПИСКА</w:t>
            </w:r>
          </w:p>
        </w:tc>
        <w:tc>
          <w:tcPr>
            <w:tcW w:w="222" w:type="dxa"/>
            <w:noWrap/>
            <w:tcMar>
              <w:top w:w="0" w:type="dxa"/>
              <w:left w:w="108" w:type="dxa"/>
              <w:bottom w:w="0" w:type="dxa"/>
              <w:right w:w="108" w:type="dxa"/>
            </w:tcMar>
            <w:vAlign w:val="bottom"/>
            <w:hideMark/>
          </w:tcPr>
          <w:p w:rsidR="002308CB" w:rsidRDefault="002308CB">
            <w:pPr>
              <w:rPr>
                <w:sz w:val="24"/>
              </w:rPr>
            </w:pPr>
          </w:p>
        </w:tc>
        <w:tc>
          <w:tcPr>
            <w:tcW w:w="1500" w:type="dxa"/>
            <w:noWrap/>
            <w:tcMar>
              <w:top w:w="0" w:type="dxa"/>
              <w:left w:w="108" w:type="dxa"/>
              <w:bottom w:w="0" w:type="dxa"/>
              <w:right w:w="108" w:type="dxa"/>
            </w:tcMar>
            <w:vAlign w:val="bottom"/>
            <w:hideMark/>
          </w:tcPr>
          <w:p w:rsidR="002308CB" w:rsidRDefault="002308CB">
            <w:pPr>
              <w:rPr>
                <w:sz w:val="24"/>
              </w:rPr>
            </w:pPr>
          </w:p>
        </w:tc>
        <w:tc>
          <w:tcPr>
            <w:tcW w:w="2461" w:type="dxa"/>
            <w:noWrap/>
            <w:tcMar>
              <w:top w:w="0" w:type="dxa"/>
              <w:left w:w="108" w:type="dxa"/>
              <w:bottom w:w="0" w:type="dxa"/>
              <w:right w:w="108" w:type="dxa"/>
            </w:tcMar>
            <w:vAlign w:val="bottom"/>
            <w:hideMark/>
          </w:tcPr>
          <w:p w:rsidR="002308CB" w:rsidRDefault="002308CB">
            <w:pPr>
              <w:rPr>
                <w:sz w:val="24"/>
              </w:rPr>
            </w:pPr>
          </w:p>
        </w:tc>
      </w:tr>
      <w:tr w:rsidR="002308CB">
        <w:trPr>
          <w:trHeight w:val="255"/>
        </w:trPr>
        <w:tc>
          <w:tcPr>
            <w:tcW w:w="5940" w:type="dxa"/>
            <w:noWrap/>
            <w:tcMar>
              <w:top w:w="0" w:type="dxa"/>
              <w:left w:w="108" w:type="dxa"/>
              <w:bottom w:w="0" w:type="dxa"/>
              <w:right w:w="108" w:type="dxa"/>
            </w:tcMar>
            <w:vAlign w:val="bottom"/>
            <w:hideMark/>
          </w:tcPr>
          <w:p w:rsidR="002308CB" w:rsidRDefault="002308CB">
            <w:pPr>
              <w:rPr>
                <w:sz w:val="24"/>
              </w:rPr>
            </w:pPr>
          </w:p>
        </w:tc>
        <w:tc>
          <w:tcPr>
            <w:tcW w:w="222" w:type="dxa"/>
            <w:noWrap/>
            <w:tcMar>
              <w:top w:w="0" w:type="dxa"/>
              <w:left w:w="108" w:type="dxa"/>
              <w:bottom w:w="0" w:type="dxa"/>
              <w:right w:w="108" w:type="dxa"/>
            </w:tcMar>
            <w:vAlign w:val="bottom"/>
            <w:hideMark/>
          </w:tcPr>
          <w:p w:rsidR="002308CB" w:rsidRDefault="002308CB">
            <w:pPr>
              <w:rPr>
                <w:sz w:val="24"/>
              </w:rPr>
            </w:pPr>
          </w:p>
        </w:tc>
        <w:tc>
          <w:tcPr>
            <w:tcW w:w="1500" w:type="dxa"/>
            <w:noWrap/>
            <w:tcMar>
              <w:top w:w="0" w:type="dxa"/>
              <w:left w:w="108" w:type="dxa"/>
              <w:bottom w:w="0" w:type="dxa"/>
              <w:right w:w="108" w:type="dxa"/>
            </w:tcMar>
            <w:vAlign w:val="bottom"/>
            <w:hideMark/>
          </w:tcPr>
          <w:p w:rsidR="002308CB" w:rsidRDefault="002308CB">
            <w:pPr>
              <w:rPr>
                <w:sz w:val="24"/>
              </w:rPr>
            </w:pPr>
          </w:p>
        </w:tc>
        <w:tc>
          <w:tcPr>
            <w:tcW w:w="2461"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2308CB" w:rsidRDefault="007B0681">
            <w:pPr>
              <w:jc w:val="center"/>
              <w:rPr>
                <w:rFonts w:ascii="Times New Roman" w:eastAsia="Times New Roman" w:hAnsi="Times New Roman" w:cs="Times New Roman"/>
                <w:sz w:val="24"/>
              </w:rPr>
            </w:pPr>
            <w:r>
              <w:rPr>
                <w:rFonts w:ascii="Times New Roman" w:eastAsia="Times New Roman" w:hAnsi="Times New Roman" w:cs="Times New Roman"/>
                <w:sz w:val="18"/>
                <w:szCs w:val="18"/>
              </w:rPr>
              <w:t>КОДЫ</w:t>
            </w:r>
          </w:p>
        </w:tc>
      </w:tr>
      <w:tr w:rsidR="002308CB">
        <w:trPr>
          <w:trHeight w:val="282"/>
        </w:trPr>
        <w:tc>
          <w:tcPr>
            <w:tcW w:w="0" w:type="auto"/>
            <w:noWrap/>
            <w:tcMar>
              <w:top w:w="0" w:type="dxa"/>
              <w:left w:w="108" w:type="dxa"/>
              <w:bottom w:w="0" w:type="dxa"/>
              <w:right w:w="108" w:type="dxa"/>
            </w:tcMar>
            <w:vAlign w:val="bottom"/>
            <w:hideMark/>
          </w:tcPr>
          <w:p w:rsidR="002308CB" w:rsidRDefault="002308CB">
            <w:pPr>
              <w:rPr>
                <w:sz w:val="24"/>
              </w:rPr>
            </w:pPr>
          </w:p>
        </w:tc>
        <w:tc>
          <w:tcPr>
            <w:tcW w:w="0" w:type="auto"/>
            <w:gridSpan w:val="2"/>
            <w:noWrap/>
            <w:tcMar>
              <w:top w:w="0" w:type="dxa"/>
              <w:left w:w="108" w:type="dxa"/>
              <w:bottom w:w="0" w:type="dxa"/>
              <w:right w:w="108" w:type="dxa"/>
            </w:tcMar>
            <w:vAlign w:val="bottom"/>
            <w:hideMark/>
          </w:tcPr>
          <w:p w:rsidR="002308CB" w:rsidRDefault="007B0681">
            <w:pPr>
              <w:jc w:val="right"/>
              <w:rPr>
                <w:rFonts w:ascii="Times New Roman" w:eastAsia="Times New Roman" w:hAnsi="Times New Roman" w:cs="Times New Roman"/>
                <w:sz w:val="24"/>
              </w:rPr>
            </w:pPr>
            <w:r>
              <w:rPr>
                <w:rFonts w:ascii="Times New Roman" w:eastAsia="Times New Roman" w:hAnsi="Times New Roman" w:cs="Times New Roman"/>
                <w:sz w:val="18"/>
                <w:szCs w:val="18"/>
              </w:rPr>
              <w:t>Форма по ОКУД</w:t>
            </w: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2308CB" w:rsidRDefault="007B0681">
            <w:pPr>
              <w:jc w:val="center"/>
              <w:rPr>
                <w:rFonts w:ascii="Times New Roman" w:eastAsia="Times New Roman" w:hAnsi="Times New Roman" w:cs="Times New Roman"/>
                <w:sz w:val="24"/>
              </w:rPr>
            </w:pPr>
            <w:r>
              <w:rPr>
                <w:rFonts w:ascii="Times New Roman" w:eastAsia="Times New Roman" w:hAnsi="Times New Roman" w:cs="Times New Roman"/>
                <w:sz w:val="18"/>
                <w:szCs w:val="18"/>
              </w:rPr>
              <w:t>0503160</w:t>
            </w:r>
          </w:p>
        </w:tc>
      </w:tr>
      <w:tr w:rsidR="002308CB">
        <w:trPr>
          <w:trHeight w:val="282"/>
        </w:trPr>
        <w:tc>
          <w:tcPr>
            <w:tcW w:w="0" w:type="auto"/>
            <w:gridSpan w:val="2"/>
            <w:noWrap/>
            <w:tcMar>
              <w:top w:w="0" w:type="dxa"/>
              <w:left w:w="108" w:type="dxa"/>
              <w:bottom w:w="0" w:type="dxa"/>
              <w:right w:w="108" w:type="dxa"/>
            </w:tcMar>
            <w:vAlign w:val="bottom"/>
            <w:hideMark/>
          </w:tcPr>
          <w:p w:rsidR="002308CB" w:rsidRDefault="007B0681">
            <w:pPr>
              <w:jc w:val="center"/>
              <w:rPr>
                <w:rFonts w:ascii="Times New Roman" w:eastAsia="Times New Roman" w:hAnsi="Times New Roman" w:cs="Times New Roman"/>
                <w:sz w:val="24"/>
              </w:rPr>
            </w:pPr>
            <w:r>
              <w:rPr>
                <w:rFonts w:ascii="Times New Roman" w:eastAsia="Times New Roman" w:hAnsi="Times New Roman" w:cs="Times New Roman"/>
                <w:sz w:val="18"/>
                <w:szCs w:val="18"/>
              </w:rPr>
              <w:t>                          на   1 января 2024 г.</w:t>
            </w:r>
          </w:p>
        </w:tc>
        <w:tc>
          <w:tcPr>
            <w:tcW w:w="1500" w:type="dxa"/>
            <w:noWrap/>
            <w:tcMar>
              <w:top w:w="0" w:type="dxa"/>
              <w:left w:w="108" w:type="dxa"/>
              <w:bottom w:w="0" w:type="dxa"/>
              <w:right w:w="108" w:type="dxa"/>
            </w:tcMar>
            <w:vAlign w:val="bottom"/>
            <w:hideMark/>
          </w:tcPr>
          <w:p w:rsidR="002308CB" w:rsidRDefault="007B0681">
            <w:pPr>
              <w:jc w:val="right"/>
              <w:rPr>
                <w:rFonts w:ascii="Times New Roman" w:eastAsia="Times New Roman" w:hAnsi="Times New Roman" w:cs="Times New Roman"/>
                <w:sz w:val="24"/>
              </w:rPr>
            </w:pPr>
            <w:r>
              <w:rPr>
                <w:rFonts w:ascii="Times New Roman" w:eastAsia="Times New Roman" w:hAnsi="Times New Roman" w:cs="Times New Roman"/>
                <w:sz w:val="18"/>
                <w:szCs w:val="18"/>
              </w:rPr>
              <w:t> Дата</w:t>
            </w: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2308CB" w:rsidRDefault="007B0681">
            <w:pPr>
              <w:jc w:val="center"/>
              <w:rPr>
                <w:rFonts w:ascii="Times New Roman" w:eastAsia="Times New Roman" w:hAnsi="Times New Roman" w:cs="Times New Roman"/>
                <w:sz w:val="24"/>
              </w:rPr>
            </w:pPr>
            <w:r>
              <w:rPr>
                <w:rFonts w:ascii="Times New Roman" w:eastAsia="Times New Roman" w:hAnsi="Times New Roman" w:cs="Times New Roman"/>
                <w:sz w:val="18"/>
                <w:szCs w:val="18"/>
              </w:rPr>
              <w:t>01.01.2024</w:t>
            </w:r>
          </w:p>
        </w:tc>
      </w:tr>
      <w:tr w:rsidR="002308CB">
        <w:trPr>
          <w:trHeight w:val="300"/>
        </w:trPr>
        <w:tc>
          <w:tcPr>
            <w:tcW w:w="5940" w:type="dxa"/>
            <w:noWrap/>
            <w:tcMar>
              <w:top w:w="0" w:type="dxa"/>
              <w:left w:w="108" w:type="dxa"/>
              <w:bottom w:w="0" w:type="dxa"/>
              <w:right w:w="108" w:type="dxa"/>
            </w:tcMar>
            <w:vAlign w:val="bottom"/>
            <w:hideMark/>
          </w:tcPr>
          <w:p w:rsidR="002308CB" w:rsidRDefault="007B0681">
            <w:pPr>
              <w:rPr>
                <w:rFonts w:ascii="Times New Roman" w:eastAsia="Times New Roman" w:hAnsi="Times New Roman" w:cs="Times New Roman"/>
                <w:sz w:val="24"/>
              </w:rPr>
            </w:pPr>
            <w:r>
              <w:rPr>
                <w:rFonts w:ascii="Times New Roman" w:eastAsia="Times New Roman" w:hAnsi="Times New Roman" w:cs="Times New Roman"/>
                <w:sz w:val="18"/>
                <w:szCs w:val="18"/>
              </w:rPr>
              <w:t>Главный распорядитель, распорядитель,</w:t>
            </w:r>
          </w:p>
        </w:tc>
        <w:tc>
          <w:tcPr>
            <w:tcW w:w="222" w:type="dxa"/>
            <w:noWrap/>
            <w:tcMar>
              <w:top w:w="0" w:type="dxa"/>
              <w:left w:w="108" w:type="dxa"/>
              <w:bottom w:w="0" w:type="dxa"/>
              <w:right w:w="108" w:type="dxa"/>
            </w:tcMar>
            <w:vAlign w:val="bottom"/>
            <w:hideMark/>
          </w:tcPr>
          <w:p w:rsidR="002308CB" w:rsidRDefault="002308CB">
            <w:pPr>
              <w:rPr>
                <w:sz w:val="24"/>
              </w:rPr>
            </w:pPr>
          </w:p>
        </w:tc>
        <w:tc>
          <w:tcPr>
            <w:tcW w:w="1500" w:type="dxa"/>
            <w:noWrap/>
            <w:tcMar>
              <w:top w:w="0" w:type="dxa"/>
              <w:left w:w="108" w:type="dxa"/>
              <w:bottom w:w="0" w:type="dxa"/>
              <w:right w:w="108" w:type="dxa"/>
            </w:tcMar>
            <w:vAlign w:val="bottom"/>
            <w:hideMark/>
          </w:tcPr>
          <w:p w:rsidR="002308CB" w:rsidRDefault="007B0681">
            <w:pPr>
              <w:jc w:val="right"/>
              <w:rPr>
                <w:rFonts w:ascii="Times New Roman" w:eastAsia="Times New Roman" w:hAnsi="Times New Roman" w:cs="Times New Roman"/>
                <w:sz w:val="24"/>
              </w:rPr>
            </w:pPr>
            <w:r>
              <w:rPr>
                <w:rFonts w:ascii="Times New Roman" w:eastAsia="Times New Roman" w:hAnsi="Times New Roman" w:cs="Times New Roman"/>
                <w:sz w:val="18"/>
                <w:szCs w:val="18"/>
              </w:rPr>
              <w:t>Код субъекта бюджетной отчетности</w:t>
            </w: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2308CB" w:rsidRDefault="002308CB">
            <w:pPr>
              <w:rPr>
                <w:sz w:val="24"/>
              </w:rPr>
            </w:pPr>
          </w:p>
        </w:tc>
      </w:tr>
      <w:tr w:rsidR="002308CB">
        <w:trPr>
          <w:trHeight w:val="195"/>
        </w:trPr>
        <w:tc>
          <w:tcPr>
            <w:tcW w:w="5940" w:type="dxa"/>
            <w:noWrap/>
            <w:tcMar>
              <w:top w:w="0" w:type="dxa"/>
              <w:left w:w="108" w:type="dxa"/>
              <w:bottom w:w="0" w:type="dxa"/>
              <w:right w:w="108" w:type="dxa"/>
            </w:tcMar>
            <w:vAlign w:val="bottom"/>
            <w:hideMark/>
          </w:tcPr>
          <w:p w:rsidR="002308CB" w:rsidRDefault="007B0681">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 xml:space="preserve">получатель бюджетных средств, главный </w:t>
            </w:r>
            <w:r>
              <w:rPr>
                <w:rFonts w:ascii="Times New Roman" w:eastAsia="Times New Roman" w:hAnsi="Times New Roman" w:cs="Times New Roman"/>
                <w:sz w:val="18"/>
                <w:szCs w:val="18"/>
              </w:rPr>
              <w:t>администратор,   </w:t>
            </w:r>
          </w:p>
        </w:tc>
        <w:tc>
          <w:tcPr>
            <w:tcW w:w="222" w:type="dxa"/>
            <w:noWrap/>
            <w:tcMar>
              <w:top w:w="0" w:type="dxa"/>
              <w:left w:w="108" w:type="dxa"/>
              <w:bottom w:w="0" w:type="dxa"/>
              <w:right w:w="108" w:type="dxa"/>
            </w:tcMar>
            <w:vAlign w:val="bottom"/>
            <w:hideMark/>
          </w:tcPr>
          <w:p w:rsidR="002308CB" w:rsidRDefault="002308CB">
            <w:pPr>
              <w:rPr>
                <w:sz w:val="20"/>
              </w:rPr>
            </w:pPr>
          </w:p>
        </w:tc>
        <w:tc>
          <w:tcPr>
            <w:tcW w:w="1500" w:type="dxa"/>
            <w:noWrap/>
            <w:tcMar>
              <w:top w:w="0" w:type="dxa"/>
              <w:left w:w="108" w:type="dxa"/>
              <w:bottom w:w="0" w:type="dxa"/>
              <w:right w:w="108" w:type="dxa"/>
            </w:tcMar>
            <w:vAlign w:val="bottom"/>
            <w:hideMark/>
          </w:tcPr>
          <w:p w:rsidR="002308CB" w:rsidRDefault="002308CB">
            <w:pPr>
              <w:rPr>
                <w:sz w:val="20"/>
              </w:rPr>
            </w:pP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2308CB" w:rsidRDefault="002308CB">
            <w:pPr>
              <w:rPr>
                <w:sz w:val="20"/>
              </w:rPr>
            </w:pPr>
          </w:p>
        </w:tc>
      </w:tr>
      <w:tr w:rsidR="002308CB">
        <w:trPr>
          <w:trHeight w:val="195"/>
        </w:trPr>
        <w:tc>
          <w:tcPr>
            <w:tcW w:w="5940" w:type="dxa"/>
            <w:noWrap/>
            <w:tcMar>
              <w:top w:w="0" w:type="dxa"/>
              <w:left w:w="108" w:type="dxa"/>
              <w:bottom w:w="0" w:type="dxa"/>
              <w:right w:w="108" w:type="dxa"/>
            </w:tcMar>
            <w:vAlign w:val="bottom"/>
            <w:hideMark/>
          </w:tcPr>
          <w:p w:rsidR="002308CB" w:rsidRDefault="007B0681">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администратор доходов бюджета,</w:t>
            </w:r>
          </w:p>
        </w:tc>
        <w:tc>
          <w:tcPr>
            <w:tcW w:w="222" w:type="dxa"/>
            <w:noWrap/>
            <w:tcMar>
              <w:top w:w="0" w:type="dxa"/>
              <w:left w:w="108" w:type="dxa"/>
              <w:bottom w:w="0" w:type="dxa"/>
              <w:right w:w="108" w:type="dxa"/>
            </w:tcMar>
            <w:vAlign w:val="bottom"/>
            <w:hideMark/>
          </w:tcPr>
          <w:p w:rsidR="002308CB" w:rsidRDefault="002308CB">
            <w:pPr>
              <w:rPr>
                <w:sz w:val="20"/>
              </w:rPr>
            </w:pPr>
          </w:p>
        </w:tc>
        <w:tc>
          <w:tcPr>
            <w:tcW w:w="1500" w:type="dxa"/>
            <w:noWrap/>
            <w:tcMar>
              <w:top w:w="0" w:type="dxa"/>
              <w:left w:w="108" w:type="dxa"/>
              <w:bottom w:w="0" w:type="dxa"/>
              <w:right w:w="108" w:type="dxa"/>
            </w:tcMar>
            <w:vAlign w:val="bottom"/>
            <w:hideMark/>
          </w:tcPr>
          <w:p w:rsidR="002308CB" w:rsidRDefault="007B0681">
            <w:pPr>
              <w:spacing w:line="195" w:lineRule="atLeast"/>
              <w:jc w:val="right"/>
              <w:rPr>
                <w:rFonts w:ascii="Times New Roman" w:eastAsia="Times New Roman" w:hAnsi="Times New Roman" w:cs="Times New Roman"/>
                <w:sz w:val="24"/>
              </w:rPr>
            </w:pPr>
            <w:r>
              <w:rPr>
                <w:rFonts w:ascii="Times New Roman" w:eastAsia="Times New Roman" w:hAnsi="Times New Roman" w:cs="Times New Roman"/>
                <w:sz w:val="18"/>
                <w:szCs w:val="18"/>
              </w:rPr>
              <w:t>по ОКПО</w:t>
            </w: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2308CB" w:rsidRDefault="007B0681">
            <w:pPr>
              <w:spacing w:line="195" w:lineRule="atLeast"/>
              <w:jc w:val="center"/>
              <w:rPr>
                <w:rFonts w:ascii="Times New Roman" w:eastAsia="Times New Roman" w:hAnsi="Times New Roman" w:cs="Times New Roman"/>
                <w:sz w:val="24"/>
              </w:rPr>
            </w:pPr>
            <w:r>
              <w:rPr>
                <w:rFonts w:ascii="Times New Roman" w:eastAsia="Times New Roman" w:hAnsi="Times New Roman" w:cs="Times New Roman"/>
                <w:sz w:val="18"/>
                <w:szCs w:val="18"/>
              </w:rPr>
              <w:t>84576722</w:t>
            </w:r>
          </w:p>
        </w:tc>
      </w:tr>
      <w:tr w:rsidR="002308CB">
        <w:trPr>
          <w:trHeight w:val="195"/>
        </w:trPr>
        <w:tc>
          <w:tcPr>
            <w:tcW w:w="5940" w:type="dxa"/>
            <w:noWrap/>
            <w:tcMar>
              <w:top w:w="0" w:type="dxa"/>
              <w:left w:w="108" w:type="dxa"/>
              <w:bottom w:w="0" w:type="dxa"/>
              <w:right w:w="108" w:type="dxa"/>
            </w:tcMar>
            <w:vAlign w:val="bottom"/>
            <w:hideMark/>
          </w:tcPr>
          <w:p w:rsidR="002308CB" w:rsidRDefault="007B0681">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 xml:space="preserve">главный администратор, администратор </w:t>
            </w:r>
          </w:p>
        </w:tc>
        <w:tc>
          <w:tcPr>
            <w:tcW w:w="222" w:type="dxa"/>
            <w:noWrap/>
            <w:tcMar>
              <w:top w:w="0" w:type="dxa"/>
              <w:left w:w="108" w:type="dxa"/>
              <w:bottom w:w="0" w:type="dxa"/>
              <w:right w:w="108" w:type="dxa"/>
            </w:tcMar>
            <w:vAlign w:val="bottom"/>
            <w:hideMark/>
          </w:tcPr>
          <w:p w:rsidR="002308CB" w:rsidRDefault="002308CB">
            <w:pPr>
              <w:rPr>
                <w:sz w:val="20"/>
              </w:rPr>
            </w:pPr>
          </w:p>
        </w:tc>
        <w:tc>
          <w:tcPr>
            <w:tcW w:w="1500" w:type="dxa"/>
            <w:noWrap/>
            <w:tcMar>
              <w:top w:w="0" w:type="dxa"/>
              <w:left w:w="108" w:type="dxa"/>
              <w:bottom w:w="0" w:type="dxa"/>
              <w:right w:w="108" w:type="dxa"/>
            </w:tcMar>
            <w:vAlign w:val="bottom"/>
            <w:hideMark/>
          </w:tcPr>
          <w:p w:rsidR="002308CB" w:rsidRDefault="002308CB">
            <w:pPr>
              <w:rPr>
                <w:sz w:val="20"/>
              </w:rPr>
            </w:pPr>
          </w:p>
        </w:tc>
        <w:tc>
          <w:tcPr>
            <w:tcW w:w="2461"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hideMark/>
          </w:tcPr>
          <w:p w:rsidR="002308CB" w:rsidRDefault="002308CB">
            <w:pPr>
              <w:rPr>
                <w:sz w:val="20"/>
              </w:rPr>
            </w:pPr>
          </w:p>
        </w:tc>
      </w:tr>
      <w:tr w:rsidR="002308CB">
        <w:trPr>
          <w:trHeight w:val="195"/>
        </w:trPr>
        <w:tc>
          <w:tcPr>
            <w:tcW w:w="5940" w:type="dxa"/>
            <w:noWrap/>
            <w:tcMar>
              <w:top w:w="0" w:type="dxa"/>
              <w:left w:w="108" w:type="dxa"/>
              <w:bottom w:w="0" w:type="dxa"/>
              <w:right w:w="108" w:type="dxa"/>
            </w:tcMar>
            <w:vAlign w:val="bottom"/>
            <w:hideMark/>
          </w:tcPr>
          <w:p w:rsidR="002308CB" w:rsidRDefault="007B0681">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администратор источников финансирования</w:t>
            </w:r>
          </w:p>
        </w:tc>
        <w:tc>
          <w:tcPr>
            <w:tcW w:w="222" w:type="dxa"/>
            <w:noWrap/>
            <w:tcMar>
              <w:top w:w="0" w:type="dxa"/>
              <w:left w:w="108" w:type="dxa"/>
              <w:bottom w:w="0" w:type="dxa"/>
              <w:right w:w="108" w:type="dxa"/>
            </w:tcMar>
            <w:vAlign w:val="bottom"/>
            <w:hideMark/>
          </w:tcPr>
          <w:p w:rsidR="002308CB" w:rsidRDefault="002308CB">
            <w:pPr>
              <w:rPr>
                <w:sz w:val="20"/>
              </w:rPr>
            </w:pPr>
          </w:p>
        </w:tc>
        <w:tc>
          <w:tcPr>
            <w:tcW w:w="1500" w:type="dxa"/>
            <w:noWrap/>
            <w:tcMar>
              <w:top w:w="0" w:type="dxa"/>
              <w:left w:w="108" w:type="dxa"/>
              <w:bottom w:w="0" w:type="dxa"/>
              <w:right w:w="108" w:type="dxa"/>
            </w:tcMar>
            <w:vAlign w:val="bottom"/>
            <w:hideMark/>
          </w:tcPr>
          <w:p w:rsidR="002308CB" w:rsidRDefault="002308CB">
            <w:pPr>
              <w:rPr>
                <w:sz w:val="20"/>
              </w:rPr>
            </w:pP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2308CB" w:rsidRDefault="002308CB">
            <w:pPr>
              <w:rPr>
                <w:sz w:val="20"/>
              </w:rPr>
            </w:pPr>
          </w:p>
        </w:tc>
      </w:tr>
      <w:tr w:rsidR="002308CB">
        <w:tc>
          <w:tcPr>
            <w:tcW w:w="0" w:type="auto"/>
            <w:gridSpan w:val="2"/>
            <w:tcMar>
              <w:top w:w="0" w:type="dxa"/>
              <w:left w:w="108" w:type="dxa"/>
              <w:bottom w:w="0" w:type="dxa"/>
              <w:right w:w="108" w:type="dxa"/>
            </w:tcMar>
            <w:vAlign w:val="bottom"/>
            <w:hideMark/>
          </w:tcPr>
          <w:p w:rsidR="002308CB" w:rsidRDefault="007B0681">
            <w:pPr>
              <w:rPr>
                <w:rFonts w:ascii="Times New Roman" w:eastAsia="Times New Roman" w:hAnsi="Times New Roman" w:cs="Times New Roman"/>
                <w:sz w:val="24"/>
              </w:rPr>
            </w:pPr>
            <w:r>
              <w:rPr>
                <w:rFonts w:ascii="Times New Roman" w:eastAsia="Times New Roman" w:hAnsi="Times New Roman" w:cs="Times New Roman"/>
                <w:sz w:val="18"/>
                <w:szCs w:val="18"/>
              </w:rPr>
              <w:t xml:space="preserve">дефицита бюджета </w:t>
            </w:r>
            <w:r>
              <w:rPr>
                <w:rFonts w:ascii="Times New Roman" w:eastAsia="Times New Roman" w:hAnsi="Times New Roman" w:cs="Times New Roman"/>
                <w:sz w:val="18"/>
                <w:szCs w:val="18"/>
                <w:u w:val="single"/>
              </w:rPr>
              <w:t xml:space="preserve">Финансовое управление администрации Слободского муниципального района Кировской </w:t>
            </w:r>
            <w:r>
              <w:rPr>
                <w:rFonts w:ascii="Times New Roman" w:eastAsia="Times New Roman" w:hAnsi="Times New Roman" w:cs="Times New Roman"/>
                <w:sz w:val="18"/>
                <w:szCs w:val="18"/>
                <w:u w:val="single"/>
              </w:rPr>
              <w:t>области</w:t>
            </w:r>
            <w:r>
              <w:rPr>
                <w:rFonts w:ascii="Times New Roman" w:eastAsia="Times New Roman" w:hAnsi="Times New Roman" w:cs="Times New Roman"/>
                <w:sz w:val="18"/>
                <w:szCs w:val="18"/>
              </w:rPr>
              <w:t>         </w:t>
            </w:r>
          </w:p>
          <w:p w:rsidR="002308CB" w:rsidRDefault="007B0681">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1500" w:type="dxa"/>
            <w:noWrap/>
            <w:tcMar>
              <w:top w:w="0" w:type="dxa"/>
              <w:left w:w="108" w:type="dxa"/>
              <w:bottom w:w="0" w:type="dxa"/>
              <w:right w:w="108" w:type="dxa"/>
            </w:tcMar>
            <w:vAlign w:val="bottom"/>
            <w:hideMark/>
          </w:tcPr>
          <w:p w:rsidR="002308CB" w:rsidRDefault="007B0681">
            <w:pPr>
              <w:jc w:val="right"/>
              <w:rPr>
                <w:rFonts w:ascii="Times New Roman" w:eastAsia="Times New Roman" w:hAnsi="Times New Roman" w:cs="Times New Roman"/>
                <w:sz w:val="24"/>
              </w:rPr>
            </w:pPr>
            <w:r>
              <w:rPr>
                <w:rFonts w:ascii="Times New Roman" w:eastAsia="Times New Roman" w:hAnsi="Times New Roman" w:cs="Times New Roman"/>
                <w:sz w:val="18"/>
                <w:szCs w:val="18"/>
              </w:rPr>
              <w:t>Глава по БК</w:t>
            </w: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2308CB" w:rsidRDefault="007B0681">
            <w:pPr>
              <w:jc w:val="center"/>
              <w:rPr>
                <w:rFonts w:ascii="Times New Roman" w:eastAsia="Times New Roman" w:hAnsi="Times New Roman" w:cs="Times New Roman"/>
                <w:sz w:val="24"/>
              </w:rPr>
            </w:pPr>
            <w:r>
              <w:rPr>
                <w:rFonts w:ascii="Times New Roman" w:eastAsia="Times New Roman" w:hAnsi="Times New Roman" w:cs="Times New Roman"/>
                <w:sz w:val="18"/>
                <w:szCs w:val="18"/>
              </w:rPr>
              <w:t>912</w:t>
            </w:r>
          </w:p>
        </w:tc>
      </w:tr>
      <w:tr w:rsidR="002308CB">
        <w:trPr>
          <w:trHeight w:val="280"/>
        </w:trPr>
        <w:tc>
          <w:tcPr>
            <w:tcW w:w="5940" w:type="dxa"/>
            <w:noWrap/>
            <w:tcMar>
              <w:top w:w="0" w:type="dxa"/>
              <w:left w:w="108" w:type="dxa"/>
              <w:bottom w:w="0" w:type="dxa"/>
              <w:right w:w="108" w:type="dxa"/>
            </w:tcMar>
            <w:vAlign w:val="bottom"/>
            <w:hideMark/>
          </w:tcPr>
          <w:p w:rsidR="002308CB" w:rsidRDefault="007B0681">
            <w:pPr>
              <w:rPr>
                <w:rFonts w:ascii="Times New Roman" w:eastAsia="Times New Roman" w:hAnsi="Times New Roman" w:cs="Times New Roman"/>
                <w:sz w:val="24"/>
              </w:rPr>
            </w:pPr>
            <w:r>
              <w:rPr>
                <w:rFonts w:ascii="Times New Roman" w:eastAsia="Times New Roman" w:hAnsi="Times New Roman" w:cs="Times New Roman"/>
                <w:sz w:val="18"/>
                <w:szCs w:val="18"/>
              </w:rPr>
              <w:t xml:space="preserve">Наименование бюджета </w:t>
            </w:r>
          </w:p>
        </w:tc>
        <w:tc>
          <w:tcPr>
            <w:tcW w:w="222" w:type="dxa"/>
            <w:noWrap/>
            <w:tcMar>
              <w:top w:w="0" w:type="dxa"/>
              <w:left w:w="108" w:type="dxa"/>
              <w:bottom w:w="0" w:type="dxa"/>
              <w:right w:w="108" w:type="dxa"/>
            </w:tcMar>
            <w:vAlign w:val="bottom"/>
            <w:hideMark/>
          </w:tcPr>
          <w:p w:rsidR="002308CB" w:rsidRDefault="002308CB">
            <w:pPr>
              <w:rPr>
                <w:sz w:val="24"/>
              </w:rPr>
            </w:pPr>
          </w:p>
        </w:tc>
        <w:tc>
          <w:tcPr>
            <w:tcW w:w="1500" w:type="dxa"/>
            <w:noWrap/>
            <w:tcMar>
              <w:top w:w="0" w:type="dxa"/>
              <w:left w:w="108" w:type="dxa"/>
              <w:bottom w:w="0" w:type="dxa"/>
              <w:right w:w="108" w:type="dxa"/>
            </w:tcMar>
            <w:vAlign w:val="bottom"/>
            <w:hideMark/>
          </w:tcPr>
          <w:p w:rsidR="002308CB" w:rsidRDefault="002308CB">
            <w:pPr>
              <w:rPr>
                <w:sz w:val="24"/>
              </w:rPr>
            </w:pP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2308CB" w:rsidRDefault="002308CB">
            <w:pPr>
              <w:rPr>
                <w:sz w:val="24"/>
              </w:rPr>
            </w:pPr>
          </w:p>
        </w:tc>
      </w:tr>
      <w:tr w:rsidR="002308CB">
        <w:trPr>
          <w:trHeight w:val="210"/>
        </w:trPr>
        <w:tc>
          <w:tcPr>
            <w:tcW w:w="0" w:type="auto"/>
            <w:gridSpan w:val="2"/>
            <w:noWrap/>
            <w:tcMar>
              <w:top w:w="0" w:type="dxa"/>
              <w:left w:w="108" w:type="dxa"/>
              <w:bottom w:w="0" w:type="dxa"/>
              <w:right w:w="108" w:type="dxa"/>
            </w:tcMar>
            <w:vAlign w:val="bottom"/>
            <w:hideMark/>
          </w:tcPr>
          <w:p w:rsidR="002308CB" w:rsidRDefault="007B0681">
            <w:pPr>
              <w:rPr>
                <w:rFonts w:ascii="Times New Roman" w:eastAsia="Times New Roman" w:hAnsi="Times New Roman" w:cs="Times New Roman"/>
                <w:sz w:val="24"/>
              </w:rPr>
            </w:pPr>
            <w:r>
              <w:rPr>
                <w:rFonts w:ascii="Times New Roman" w:eastAsia="Times New Roman" w:hAnsi="Times New Roman" w:cs="Times New Roman"/>
                <w:sz w:val="18"/>
                <w:szCs w:val="18"/>
              </w:rPr>
              <w:t xml:space="preserve">(публично-правового образования) </w:t>
            </w:r>
            <w:r>
              <w:rPr>
                <w:rFonts w:ascii="Times New Roman" w:eastAsia="Times New Roman" w:hAnsi="Times New Roman" w:cs="Times New Roman"/>
                <w:sz w:val="18"/>
                <w:szCs w:val="18"/>
                <w:u w:val="single"/>
              </w:rPr>
              <w:t>Бюджет муниципального района</w:t>
            </w:r>
            <w:r>
              <w:rPr>
                <w:rFonts w:ascii="Times New Roman" w:eastAsia="Times New Roman" w:hAnsi="Times New Roman" w:cs="Times New Roman"/>
                <w:sz w:val="18"/>
                <w:szCs w:val="18"/>
              </w:rPr>
              <w:t xml:space="preserve"> </w:t>
            </w:r>
          </w:p>
          <w:p w:rsidR="002308CB" w:rsidRDefault="007B0681">
            <w:pPr>
              <w:spacing w:line="210" w:lineRule="atLeast"/>
              <w:rPr>
                <w:rFonts w:ascii="Times New Roman" w:eastAsia="Times New Roman" w:hAnsi="Times New Roman" w:cs="Times New Roman"/>
                <w:sz w:val="24"/>
              </w:rPr>
            </w:pPr>
            <w:r>
              <w:rPr>
                <w:rFonts w:ascii="Times New Roman" w:eastAsia="Times New Roman" w:hAnsi="Times New Roman" w:cs="Times New Roman"/>
                <w:sz w:val="18"/>
                <w:szCs w:val="18"/>
              </w:rPr>
              <w:t xml:space="preserve">   </w:t>
            </w:r>
          </w:p>
        </w:tc>
        <w:tc>
          <w:tcPr>
            <w:tcW w:w="1500" w:type="dxa"/>
            <w:noWrap/>
            <w:tcMar>
              <w:top w:w="0" w:type="dxa"/>
              <w:left w:w="108" w:type="dxa"/>
              <w:bottom w:w="0" w:type="dxa"/>
              <w:right w:w="108" w:type="dxa"/>
            </w:tcMar>
            <w:vAlign w:val="bottom"/>
            <w:hideMark/>
          </w:tcPr>
          <w:p w:rsidR="002308CB" w:rsidRDefault="007B0681">
            <w:pPr>
              <w:spacing w:line="210" w:lineRule="atLeast"/>
              <w:jc w:val="right"/>
              <w:rPr>
                <w:rFonts w:ascii="Times New Roman" w:eastAsia="Times New Roman" w:hAnsi="Times New Roman" w:cs="Times New Roman"/>
                <w:sz w:val="24"/>
              </w:rPr>
            </w:pPr>
            <w:r>
              <w:rPr>
                <w:rFonts w:ascii="Times New Roman" w:eastAsia="Times New Roman" w:hAnsi="Times New Roman" w:cs="Times New Roman"/>
                <w:sz w:val="18"/>
                <w:szCs w:val="18"/>
              </w:rPr>
              <w:t>по ОКТМО</w:t>
            </w: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2308CB" w:rsidRDefault="007B0681">
            <w:pPr>
              <w:spacing w:line="210" w:lineRule="atLeast"/>
              <w:jc w:val="center"/>
              <w:rPr>
                <w:rFonts w:ascii="Times New Roman" w:eastAsia="Times New Roman" w:hAnsi="Times New Roman" w:cs="Times New Roman"/>
                <w:sz w:val="24"/>
              </w:rPr>
            </w:pPr>
            <w:r>
              <w:rPr>
                <w:rFonts w:ascii="Times New Roman" w:eastAsia="Times New Roman" w:hAnsi="Times New Roman" w:cs="Times New Roman"/>
                <w:sz w:val="15"/>
                <w:szCs w:val="15"/>
              </w:rPr>
              <w:t>33713000</w:t>
            </w:r>
          </w:p>
        </w:tc>
      </w:tr>
      <w:tr w:rsidR="002308CB">
        <w:trPr>
          <w:trHeight w:val="315"/>
        </w:trPr>
        <w:tc>
          <w:tcPr>
            <w:tcW w:w="5940" w:type="dxa"/>
            <w:noWrap/>
            <w:tcMar>
              <w:top w:w="0" w:type="dxa"/>
              <w:left w:w="108" w:type="dxa"/>
              <w:bottom w:w="0" w:type="dxa"/>
              <w:right w:w="108" w:type="dxa"/>
            </w:tcMar>
            <w:vAlign w:val="bottom"/>
            <w:hideMark/>
          </w:tcPr>
          <w:p w:rsidR="002308CB" w:rsidRDefault="007B0681">
            <w:pPr>
              <w:rPr>
                <w:rFonts w:ascii="Times New Roman" w:eastAsia="Times New Roman" w:hAnsi="Times New Roman" w:cs="Times New Roman"/>
                <w:sz w:val="24"/>
              </w:rPr>
            </w:pPr>
            <w:r>
              <w:rPr>
                <w:rFonts w:ascii="Times New Roman" w:eastAsia="Times New Roman" w:hAnsi="Times New Roman" w:cs="Times New Roman"/>
                <w:sz w:val="18"/>
                <w:szCs w:val="18"/>
              </w:rPr>
              <w:t>Периодичность:    месячная, квартальная, годовая</w:t>
            </w:r>
          </w:p>
        </w:tc>
        <w:tc>
          <w:tcPr>
            <w:tcW w:w="222" w:type="dxa"/>
            <w:noWrap/>
            <w:tcMar>
              <w:top w:w="0" w:type="dxa"/>
              <w:left w:w="108" w:type="dxa"/>
              <w:bottom w:w="0" w:type="dxa"/>
              <w:right w:w="108" w:type="dxa"/>
            </w:tcMar>
            <w:vAlign w:val="bottom"/>
            <w:hideMark/>
          </w:tcPr>
          <w:p w:rsidR="002308CB" w:rsidRDefault="002308CB">
            <w:pPr>
              <w:rPr>
                <w:sz w:val="24"/>
              </w:rPr>
            </w:pPr>
          </w:p>
        </w:tc>
        <w:tc>
          <w:tcPr>
            <w:tcW w:w="1500" w:type="dxa"/>
            <w:noWrap/>
            <w:tcMar>
              <w:top w:w="0" w:type="dxa"/>
              <w:left w:w="108" w:type="dxa"/>
              <w:bottom w:w="0" w:type="dxa"/>
              <w:right w:w="108" w:type="dxa"/>
            </w:tcMar>
            <w:vAlign w:val="bottom"/>
            <w:hideMark/>
          </w:tcPr>
          <w:p w:rsidR="002308CB" w:rsidRDefault="002308CB">
            <w:pPr>
              <w:rPr>
                <w:sz w:val="24"/>
              </w:rPr>
            </w:pPr>
          </w:p>
        </w:tc>
        <w:tc>
          <w:tcPr>
            <w:tcW w:w="2461"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hideMark/>
          </w:tcPr>
          <w:p w:rsidR="002308CB" w:rsidRDefault="002308CB">
            <w:pPr>
              <w:rPr>
                <w:sz w:val="24"/>
              </w:rPr>
            </w:pPr>
          </w:p>
        </w:tc>
      </w:tr>
      <w:tr w:rsidR="002308CB">
        <w:trPr>
          <w:trHeight w:val="282"/>
        </w:trPr>
        <w:tc>
          <w:tcPr>
            <w:tcW w:w="0" w:type="auto"/>
            <w:noWrap/>
            <w:tcMar>
              <w:top w:w="0" w:type="dxa"/>
              <w:left w:w="108" w:type="dxa"/>
              <w:bottom w:w="0" w:type="dxa"/>
              <w:right w:w="108" w:type="dxa"/>
            </w:tcMar>
            <w:vAlign w:val="bottom"/>
            <w:hideMark/>
          </w:tcPr>
          <w:p w:rsidR="002308CB" w:rsidRDefault="007B0681">
            <w:pPr>
              <w:rPr>
                <w:rFonts w:ascii="Times New Roman" w:eastAsia="Times New Roman" w:hAnsi="Times New Roman" w:cs="Times New Roman"/>
                <w:sz w:val="24"/>
              </w:rPr>
            </w:pPr>
            <w:r>
              <w:rPr>
                <w:rFonts w:ascii="Times New Roman" w:eastAsia="Times New Roman" w:hAnsi="Times New Roman" w:cs="Times New Roman"/>
                <w:sz w:val="18"/>
                <w:szCs w:val="18"/>
              </w:rPr>
              <w:t>Единица измерения: руб.</w:t>
            </w:r>
          </w:p>
        </w:tc>
        <w:tc>
          <w:tcPr>
            <w:tcW w:w="222" w:type="dxa"/>
            <w:noWrap/>
            <w:tcMar>
              <w:top w:w="0" w:type="dxa"/>
              <w:left w:w="108" w:type="dxa"/>
              <w:bottom w:w="0" w:type="dxa"/>
              <w:right w:w="108" w:type="dxa"/>
            </w:tcMar>
            <w:vAlign w:val="bottom"/>
            <w:hideMark/>
          </w:tcPr>
          <w:p w:rsidR="002308CB" w:rsidRDefault="002308CB">
            <w:pPr>
              <w:rPr>
                <w:sz w:val="24"/>
              </w:rPr>
            </w:pPr>
          </w:p>
        </w:tc>
        <w:tc>
          <w:tcPr>
            <w:tcW w:w="1500" w:type="dxa"/>
            <w:noWrap/>
            <w:tcMar>
              <w:top w:w="0" w:type="dxa"/>
              <w:left w:w="108" w:type="dxa"/>
              <w:bottom w:w="0" w:type="dxa"/>
              <w:right w:w="108" w:type="dxa"/>
            </w:tcMar>
            <w:vAlign w:val="bottom"/>
            <w:hideMark/>
          </w:tcPr>
          <w:p w:rsidR="002308CB" w:rsidRDefault="007B0681">
            <w:pPr>
              <w:spacing w:before="240" w:beforeAutospacing="1" w:after="240" w:afterAutospacing="1"/>
              <w:jc w:val="right"/>
              <w:rPr>
                <w:rFonts w:ascii="Times New Roman" w:eastAsia="Times New Roman" w:hAnsi="Times New Roman" w:cs="Times New Roman"/>
                <w:sz w:val="24"/>
              </w:rPr>
            </w:pPr>
            <w:r>
              <w:rPr>
                <w:rFonts w:ascii="Times New Roman" w:eastAsia="Times New Roman" w:hAnsi="Times New Roman" w:cs="Times New Roman"/>
                <w:sz w:val="18"/>
                <w:szCs w:val="18"/>
              </w:rPr>
              <w:t>    по ОКЕИ</w:t>
            </w:r>
          </w:p>
        </w:tc>
        <w:tc>
          <w:tcPr>
            <w:tcW w:w="2461"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2308CB" w:rsidRDefault="007B0681">
            <w:pPr>
              <w:jc w:val="center"/>
              <w:rPr>
                <w:rFonts w:ascii="Times New Roman" w:eastAsia="Times New Roman" w:hAnsi="Times New Roman" w:cs="Times New Roman"/>
                <w:sz w:val="24"/>
              </w:rPr>
            </w:pPr>
            <w:r>
              <w:rPr>
                <w:rFonts w:ascii="Times New Roman" w:eastAsia="Times New Roman" w:hAnsi="Times New Roman" w:cs="Times New Roman"/>
                <w:sz w:val="18"/>
                <w:szCs w:val="18"/>
              </w:rPr>
              <w:t>383</w:t>
            </w:r>
          </w:p>
        </w:tc>
      </w:tr>
      <w:tr w:rsidR="002308CB">
        <w:trPr>
          <w:trHeight w:val="282"/>
        </w:trPr>
        <w:tc>
          <w:tcPr>
            <w:tcW w:w="0" w:type="auto"/>
            <w:noWrap/>
            <w:tcMar>
              <w:top w:w="0" w:type="dxa"/>
              <w:left w:w="108" w:type="dxa"/>
              <w:bottom w:w="0" w:type="dxa"/>
              <w:right w:w="108" w:type="dxa"/>
            </w:tcMar>
            <w:vAlign w:val="bottom"/>
            <w:hideMark/>
          </w:tcPr>
          <w:p w:rsidR="002308CB" w:rsidRDefault="002308CB">
            <w:pPr>
              <w:rPr>
                <w:sz w:val="24"/>
              </w:rPr>
            </w:pPr>
          </w:p>
        </w:tc>
        <w:tc>
          <w:tcPr>
            <w:tcW w:w="222" w:type="dxa"/>
            <w:noWrap/>
            <w:tcMar>
              <w:top w:w="0" w:type="dxa"/>
              <w:left w:w="108" w:type="dxa"/>
              <w:bottom w:w="0" w:type="dxa"/>
              <w:right w:w="108" w:type="dxa"/>
            </w:tcMar>
            <w:vAlign w:val="bottom"/>
            <w:hideMark/>
          </w:tcPr>
          <w:p w:rsidR="002308CB" w:rsidRDefault="002308CB">
            <w:pPr>
              <w:rPr>
                <w:sz w:val="24"/>
              </w:rPr>
            </w:pPr>
          </w:p>
        </w:tc>
        <w:tc>
          <w:tcPr>
            <w:tcW w:w="1500" w:type="dxa"/>
            <w:noWrap/>
            <w:tcMar>
              <w:top w:w="0" w:type="dxa"/>
              <w:left w:w="108" w:type="dxa"/>
              <w:bottom w:w="0" w:type="dxa"/>
              <w:right w:w="108" w:type="dxa"/>
            </w:tcMar>
            <w:vAlign w:val="bottom"/>
            <w:hideMark/>
          </w:tcPr>
          <w:p w:rsidR="002308CB" w:rsidRDefault="002308CB">
            <w:pPr>
              <w:rPr>
                <w:sz w:val="24"/>
              </w:rPr>
            </w:pPr>
          </w:p>
        </w:tc>
        <w:tc>
          <w:tcPr>
            <w:tcW w:w="2461" w:type="dxa"/>
            <w:noWrap/>
            <w:tcMar>
              <w:top w:w="0" w:type="dxa"/>
              <w:left w:w="108" w:type="dxa"/>
              <w:bottom w:w="0" w:type="dxa"/>
              <w:right w:w="108" w:type="dxa"/>
            </w:tcMar>
            <w:vAlign w:val="bottom"/>
            <w:hideMark/>
          </w:tcPr>
          <w:p w:rsidR="002308CB" w:rsidRDefault="002308CB">
            <w:pPr>
              <w:rPr>
                <w:sz w:val="24"/>
              </w:rPr>
            </w:pPr>
          </w:p>
        </w:tc>
      </w:tr>
      <w:tr w:rsidR="002308CB">
        <w:trPr>
          <w:trHeight w:val="282"/>
        </w:trPr>
        <w:tc>
          <w:tcPr>
            <w:tcW w:w="0" w:type="auto"/>
            <w:gridSpan w:val="4"/>
            <w:noWrap/>
            <w:tcMar>
              <w:top w:w="0" w:type="dxa"/>
              <w:left w:w="108" w:type="dxa"/>
              <w:bottom w:w="0" w:type="dxa"/>
              <w:right w:w="108" w:type="dxa"/>
            </w:tcMar>
            <w:vAlign w:val="bottom"/>
            <w:hideMark/>
          </w:tcPr>
          <w:p w:rsidR="002308CB" w:rsidRDefault="002308CB">
            <w:pPr>
              <w:rPr>
                <w:sz w:val="24"/>
              </w:rPr>
            </w:pPr>
          </w:p>
        </w:tc>
      </w:tr>
    </w:tbl>
    <w:p w:rsidR="002308CB" w:rsidRDefault="007B0681">
      <w:pPr>
        <w:jc w:val="center"/>
        <w:rPr>
          <w:color w:val="000000"/>
        </w:rPr>
      </w:pPr>
      <w:r>
        <w:rPr>
          <w:rFonts w:ascii="Times New Roman" w:eastAsia="Times New Roman" w:hAnsi="Times New Roman" w:cs="Times New Roman"/>
          <w:b/>
          <w:color w:val="000000"/>
          <w:sz w:val="28"/>
          <w:szCs w:val="28"/>
        </w:rPr>
        <w:t>Раздел</w:t>
      </w:r>
      <w:r>
        <w:rPr>
          <w:rFonts w:ascii="Times New Roman" w:eastAsia="Times New Roman" w:hAnsi="Times New Roman" w:cs="Times New Roman"/>
          <w:b/>
          <w:color w:val="000000"/>
          <w:sz w:val="28"/>
          <w:szCs w:val="28"/>
        </w:rPr>
        <w:t xml:space="preserve"> 1 «Организационная структура финансового управления</w:t>
      </w:r>
    </w:p>
    <w:p w:rsidR="002308CB" w:rsidRDefault="007B0681">
      <w:pPr>
        <w:jc w:val="center"/>
        <w:rPr>
          <w:color w:val="000000"/>
        </w:rPr>
      </w:pPr>
      <w:r>
        <w:rPr>
          <w:rFonts w:ascii="Times New Roman" w:eastAsia="Times New Roman" w:hAnsi="Times New Roman" w:cs="Times New Roman"/>
          <w:b/>
          <w:color w:val="000000"/>
          <w:sz w:val="28"/>
          <w:szCs w:val="28"/>
        </w:rPr>
        <w:t> Слободского района»</w:t>
      </w:r>
    </w:p>
    <w:p w:rsidR="002308CB" w:rsidRDefault="007B0681">
      <w:pPr>
        <w:jc w:val="center"/>
        <w:rPr>
          <w:color w:val="000000"/>
        </w:rPr>
      </w:pPr>
      <w:r>
        <w:rPr>
          <w:rFonts w:ascii="Times New Roman" w:eastAsia="Times New Roman" w:hAnsi="Times New Roman" w:cs="Times New Roman"/>
          <w:b/>
          <w:color w:val="000000"/>
          <w:sz w:val="28"/>
          <w:szCs w:val="28"/>
        </w:rPr>
        <w:t> </w:t>
      </w:r>
    </w:p>
    <w:p w:rsidR="002308CB" w:rsidRDefault="007B0681">
      <w:pPr>
        <w:jc w:val="both"/>
        <w:rPr>
          <w:color w:val="000000"/>
        </w:rPr>
      </w:pPr>
      <w:r>
        <w:rPr>
          <w:rFonts w:ascii="Times New Roman" w:eastAsia="Times New Roman" w:hAnsi="Times New Roman" w:cs="Times New Roman"/>
          <w:color w:val="000000"/>
          <w:sz w:val="28"/>
          <w:szCs w:val="28"/>
        </w:rPr>
        <w:t>         Финансовое управление Слободского района является отраслевым органом администрации Слободского района. Подведомственных учреждений и филиалов не имеется.</w:t>
      </w:r>
    </w:p>
    <w:p w:rsidR="002308CB" w:rsidRDefault="007B0681">
      <w:pPr>
        <w:jc w:val="both"/>
        <w:rPr>
          <w:color w:val="000000"/>
        </w:rPr>
      </w:pPr>
      <w:r>
        <w:rPr>
          <w:rFonts w:ascii="Times New Roman" w:eastAsia="Times New Roman" w:hAnsi="Times New Roman" w:cs="Times New Roman"/>
          <w:color w:val="000000"/>
          <w:sz w:val="28"/>
          <w:szCs w:val="28"/>
        </w:rPr>
        <w:t>       Финансовое</w:t>
      </w:r>
      <w:r>
        <w:rPr>
          <w:rFonts w:ascii="Times New Roman" w:eastAsia="Times New Roman" w:hAnsi="Times New Roman" w:cs="Times New Roman"/>
          <w:color w:val="000000"/>
          <w:sz w:val="28"/>
          <w:szCs w:val="28"/>
        </w:rPr>
        <w:t xml:space="preserve"> управление является юридическим лицом, имеет смету, лицевые счета, печать, штампы и бланки, может от своего имени осуществлять имущественные права и обязанности, выступать в судах в пределах своей компетенции. Финансовое управление осуществляет свою деяте</w:t>
      </w:r>
      <w:r>
        <w:rPr>
          <w:rFonts w:ascii="Times New Roman" w:eastAsia="Times New Roman" w:hAnsi="Times New Roman" w:cs="Times New Roman"/>
          <w:color w:val="000000"/>
          <w:sz w:val="28"/>
          <w:szCs w:val="28"/>
        </w:rPr>
        <w:t>льность в соответствии с Положением о финансовом управлении, утвержденным решением Слободской районной Думы от 22.10.2008 № 42/532 (в редакции решения Слободской районной Думы от 27.10.2022 №15/138).</w:t>
      </w:r>
    </w:p>
    <w:p w:rsidR="002308CB" w:rsidRDefault="007B0681">
      <w:pPr>
        <w:jc w:val="both"/>
        <w:rPr>
          <w:color w:val="000000"/>
        </w:rPr>
      </w:pPr>
      <w:r>
        <w:rPr>
          <w:rFonts w:ascii="Times New Roman" w:eastAsia="Times New Roman" w:hAnsi="Times New Roman" w:cs="Times New Roman"/>
          <w:color w:val="000000"/>
          <w:sz w:val="28"/>
          <w:szCs w:val="28"/>
        </w:rPr>
        <w:t>       Финансовое управление администрации Слободского м</w:t>
      </w:r>
      <w:r>
        <w:rPr>
          <w:rFonts w:ascii="Times New Roman" w:eastAsia="Times New Roman" w:hAnsi="Times New Roman" w:cs="Times New Roman"/>
          <w:color w:val="000000"/>
          <w:sz w:val="28"/>
          <w:szCs w:val="28"/>
        </w:rPr>
        <w:t>униципального района Кировской области включено в единый государственный реестр юридических лиц с присвоением ОГРН № 1084329000909   (свидетельство о регистрации серии 43 № 002069451). Юридический адрес администрации Слободского района и финансового управл</w:t>
      </w:r>
      <w:r>
        <w:rPr>
          <w:rFonts w:ascii="Times New Roman" w:eastAsia="Times New Roman" w:hAnsi="Times New Roman" w:cs="Times New Roman"/>
          <w:color w:val="000000"/>
          <w:sz w:val="28"/>
          <w:szCs w:val="28"/>
        </w:rPr>
        <w:t>ения: 613150, г. Слободской, Кировская область, ул. Советская, д.86.</w:t>
      </w:r>
    </w:p>
    <w:p w:rsidR="002308CB" w:rsidRDefault="007B0681">
      <w:pPr>
        <w:jc w:val="both"/>
        <w:rPr>
          <w:color w:val="000000"/>
        </w:rPr>
      </w:pPr>
      <w:r>
        <w:rPr>
          <w:rFonts w:ascii="Times New Roman" w:eastAsia="Times New Roman" w:hAnsi="Times New Roman" w:cs="Times New Roman"/>
          <w:color w:val="000000"/>
          <w:sz w:val="28"/>
          <w:szCs w:val="28"/>
        </w:rPr>
        <w:t>        Основными задачами финансового управления Слободского района являются обеспечение проведения на территории Слободского района единой финансовой и бюджетной политики; обеспечение у</w:t>
      </w:r>
      <w:r>
        <w:rPr>
          <w:rFonts w:ascii="Times New Roman" w:eastAsia="Times New Roman" w:hAnsi="Times New Roman" w:cs="Times New Roman"/>
          <w:color w:val="000000"/>
          <w:sz w:val="28"/>
          <w:szCs w:val="28"/>
        </w:rPr>
        <w:t xml:space="preserve">стойчивого функционирования и развития бюджетной системы, бюджетного устройства и бюджетного процесса; </w:t>
      </w:r>
      <w:r>
        <w:rPr>
          <w:rFonts w:ascii="Times New Roman" w:eastAsia="Times New Roman" w:hAnsi="Times New Roman" w:cs="Times New Roman"/>
          <w:color w:val="000000"/>
          <w:sz w:val="28"/>
          <w:szCs w:val="28"/>
        </w:rPr>
        <w:lastRenderedPageBreak/>
        <w:t>регулирование межбюджетных отношений; осуществление внутреннего муниципального финансового контроля за рациональным и целевым расходованием бюджетных сре</w:t>
      </w:r>
      <w:r>
        <w:rPr>
          <w:rFonts w:ascii="Times New Roman" w:eastAsia="Times New Roman" w:hAnsi="Times New Roman" w:cs="Times New Roman"/>
          <w:color w:val="000000"/>
          <w:sz w:val="28"/>
          <w:szCs w:val="28"/>
        </w:rPr>
        <w:t>дств, за соблюдением финансовой дисциплины, методическое руководство за ведением бухгалтерского учета и отчетности, организация кассового обслуживания исполнения консолидированного бюджета Слободского района, осуществление контроля за соблюдением законодат</w:t>
      </w:r>
      <w:r>
        <w:rPr>
          <w:rFonts w:ascii="Times New Roman" w:eastAsia="Times New Roman" w:hAnsi="Times New Roman" w:cs="Times New Roman"/>
          <w:color w:val="000000"/>
          <w:sz w:val="28"/>
          <w:szCs w:val="28"/>
        </w:rPr>
        <w:t>ельства о закупках.</w:t>
      </w:r>
    </w:p>
    <w:p w:rsidR="002308CB" w:rsidRDefault="007B0681">
      <w:pPr>
        <w:jc w:val="both"/>
        <w:rPr>
          <w:color w:val="000000"/>
        </w:rPr>
      </w:pPr>
      <w:r>
        <w:rPr>
          <w:rFonts w:ascii="Times New Roman" w:eastAsia="Times New Roman" w:hAnsi="Times New Roman" w:cs="Times New Roman"/>
          <w:color w:val="000000"/>
          <w:sz w:val="28"/>
          <w:szCs w:val="28"/>
        </w:rPr>
        <w:t> </w:t>
      </w:r>
    </w:p>
    <w:p w:rsidR="002308CB" w:rsidRDefault="007B0681">
      <w:pPr>
        <w:jc w:val="center"/>
        <w:rPr>
          <w:color w:val="000000"/>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Раздел 2 «Результаты деятельности финансового управления Слободского района»</w:t>
      </w:r>
    </w:p>
    <w:p w:rsidR="002308CB" w:rsidRDefault="007B0681">
      <w:pPr>
        <w:rPr>
          <w:color w:val="000000"/>
        </w:rPr>
      </w:pPr>
      <w:r>
        <w:rPr>
          <w:rFonts w:ascii="Times New Roman" w:eastAsia="Times New Roman" w:hAnsi="Times New Roman" w:cs="Times New Roman"/>
          <w:color w:val="000000"/>
          <w:sz w:val="28"/>
          <w:szCs w:val="28"/>
        </w:rPr>
        <w:t> </w:t>
      </w:r>
    </w:p>
    <w:p w:rsidR="002308CB" w:rsidRDefault="007B0681">
      <w:pPr>
        <w:jc w:val="both"/>
        <w:rPr>
          <w:color w:val="000000"/>
        </w:rPr>
      </w:pPr>
      <w:r>
        <w:rPr>
          <w:rFonts w:ascii="Times New Roman" w:eastAsia="Times New Roman" w:hAnsi="Times New Roman" w:cs="Times New Roman"/>
          <w:color w:val="000000"/>
          <w:sz w:val="28"/>
          <w:szCs w:val="28"/>
        </w:rPr>
        <w:t xml:space="preserve">          Финансовые и хозяйственные операции по ведению учета осуществлялись в соответствии с Бюджетным кодексов РФ и действующей в финансовом </w:t>
      </w:r>
      <w:r>
        <w:rPr>
          <w:rFonts w:ascii="Times New Roman" w:eastAsia="Times New Roman" w:hAnsi="Times New Roman" w:cs="Times New Roman"/>
          <w:color w:val="000000"/>
          <w:sz w:val="28"/>
          <w:szCs w:val="28"/>
        </w:rPr>
        <w:t>управлении учетной политикой. </w:t>
      </w:r>
    </w:p>
    <w:p w:rsidR="002308CB" w:rsidRDefault="007B0681">
      <w:pPr>
        <w:jc w:val="both"/>
        <w:rPr>
          <w:color w:val="000000"/>
        </w:rPr>
      </w:pPr>
      <w:r>
        <w:rPr>
          <w:rFonts w:ascii="Times New Roman" w:eastAsia="Times New Roman" w:hAnsi="Times New Roman" w:cs="Times New Roman"/>
          <w:color w:val="000000"/>
          <w:sz w:val="28"/>
          <w:szCs w:val="28"/>
        </w:rPr>
        <w:t xml:space="preserve">         Постановлением  администрации  Слободского  района  от  18.03.2021 № 280 утвержден План мероприятий («Дорожная карта») по увеличению поступления налоговых и неналоговых доходов в бюджеты бюджетной системы Российской </w:t>
      </w:r>
      <w:r>
        <w:rPr>
          <w:rFonts w:ascii="Times New Roman" w:eastAsia="Times New Roman" w:hAnsi="Times New Roman" w:cs="Times New Roman"/>
          <w:color w:val="000000"/>
          <w:sz w:val="28"/>
          <w:szCs w:val="28"/>
        </w:rPr>
        <w:t>Федерации на 2021-2024 годы.</w:t>
      </w:r>
    </w:p>
    <w:p w:rsidR="002308CB" w:rsidRDefault="007B0681">
      <w:pPr>
        <w:ind w:firstLine="560"/>
        <w:jc w:val="both"/>
        <w:rPr>
          <w:color w:val="000000"/>
        </w:rPr>
      </w:pPr>
      <w:r>
        <w:rPr>
          <w:rFonts w:ascii="Times New Roman" w:eastAsia="Times New Roman" w:hAnsi="Times New Roman" w:cs="Times New Roman"/>
          <w:color w:val="000000"/>
          <w:sz w:val="28"/>
          <w:szCs w:val="28"/>
        </w:rPr>
        <w:t> Постановлением  администрации  Слободского  района  от  19.09.2019 № 1499 утверждена Программа по повышению эффективности и оптимизации расходов районного бюджета на 2019-2024 годы.</w:t>
      </w:r>
    </w:p>
    <w:p w:rsidR="002308CB" w:rsidRDefault="007B0681">
      <w:pPr>
        <w:ind w:firstLine="560"/>
        <w:jc w:val="both"/>
        <w:rPr>
          <w:color w:val="000000"/>
        </w:rPr>
      </w:pPr>
      <w:r>
        <w:rPr>
          <w:rFonts w:ascii="Times New Roman" w:eastAsia="Times New Roman" w:hAnsi="Times New Roman" w:cs="Times New Roman"/>
          <w:color w:val="000000"/>
          <w:sz w:val="28"/>
          <w:szCs w:val="28"/>
        </w:rPr>
        <w:t>Доходная часть   бюджета финансового управле</w:t>
      </w:r>
      <w:r>
        <w:rPr>
          <w:rFonts w:ascii="Times New Roman" w:eastAsia="Times New Roman" w:hAnsi="Times New Roman" w:cs="Times New Roman"/>
          <w:color w:val="000000"/>
          <w:sz w:val="28"/>
          <w:szCs w:val="28"/>
        </w:rPr>
        <w:t>ния за 2023 год исполнена в объеме 217 353 503,65 рублей или на 99,87 % к уточненному годовому плану. Неналоговые доходы исполнены в объеме 13 940,06 рубля или на 99,57%, безвозмездные поступления из других уровней бюджета бюджетной системы Российской Феде</w:t>
      </w:r>
      <w:r>
        <w:rPr>
          <w:rFonts w:ascii="Times New Roman" w:eastAsia="Times New Roman" w:hAnsi="Times New Roman" w:cs="Times New Roman"/>
          <w:color w:val="000000"/>
          <w:sz w:val="28"/>
          <w:szCs w:val="28"/>
        </w:rPr>
        <w:t>рации поступили в сумме 217 539 098,00 рубля или 99,87% к утвержденным плановым назначениям и возврат остатков субсидий, субвенций и иных межбюджетных трансфертов, имеющих целевое значение, прошлых лет в сумме -199 531,41 рубль или 100,00%. В объем безвозм</w:t>
      </w:r>
      <w:r>
        <w:rPr>
          <w:rFonts w:ascii="Times New Roman" w:eastAsia="Times New Roman" w:hAnsi="Times New Roman" w:cs="Times New Roman"/>
          <w:color w:val="000000"/>
          <w:sz w:val="28"/>
          <w:szCs w:val="28"/>
        </w:rPr>
        <w:t>ездных поступлений бюджета финансового управления включены поступившие из областного бюджета:</w:t>
      </w:r>
    </w:p>
    <w:p w:rsidR="002308CB" w:rsidRDefault="007B0681">
      <w:pPr>
        <w:ind w:firstLine="560"/>
        <w:jc w:val="both"/>
        <w:rPr>
          <w:color w:val="000000"/>
        </w:rPr>
      </w:pPr>
      <w:r>
        <w:rPr>
          <w:rFonts w:ascii="Times New Roman" w:eastAsia="Times New Roman" w:hAnsi="Times New Roman" w:cs="Times New Roman"/>
          <w:color w:val="000000"/>
          <w:sz w:val="28"/>
          <w:szCs w:val="28"/>
        </w:rPr>
        <w:t>- дотации бюджетам муниципальных районов  на  выравнивание  бюджетной  обеспеченности в сумме 69 388 000,00 рублей;</w:t>
      </w:r>
    </w:p>
    <w:p w:rsidR="002308CB" w:rsidRDefault="007B0681">
      <w:pPr>
        <w:ind w:firstLine="560"/>
        <w:jc w:val="both"/>
        <w:rPr>
          <w:color w:val="000000"/>
        </w:rPr>
      </w:pPr>
      <w:r>
        <w:rPr>
          <w:rFonts w:ascii="Times New Roman" w:eastAsia="Times New Roman" w:hAnsi="Times New Roman" w:cs="Times New Roman"/>
          <w:color w:val="000000"/>
          <w:sz w:val="28"/>
          <w:szCs w:val="28"/>
        </w:rPr>
        <w:t>- дотации (гранты) бюджетам муниципальных райо</w:t>
      </w:r>
      <w:r>
        <w:rPr>
          <w:rFonts w:ascii="Times New Roman" w:eastAsia="Times New Roman" w:hAnsi="Times New Roman" w:cs="Times New Roman"/>
          <w:color w:val="000000"/>
          <w:sz w:val="28"/>
          <w:szCs w:val="28"/>
        </w:rPr>
        <w:t>нов за достижение показателей деятельности органов   местного самоуправления в сумме 2 626 300,00 рублей;</w:t>
      </w:r>
    </w:p>
    <w:p w:rsidR="002308CB" w:rsidRDefault="007B0681">
      <w:pPr>
        <w:ind w:firstLine="560"/>
        <w:jc w:val="both"/>
        <w:rPr>
          <w:color w:val="000000"/>
        </w:rPr>
      </w:pPr>
      <w:r>
        <w:rPr>
          <w:rFonts w:ascii="Times New Roman" w:eastAsia="Times New Roman" w:hAnsi="Times New Roman" w:cs="Times New Roman"/>
          <w:color w:val="000000"/>
          <w:sz w:val="28"/>
          <w:szCs w:val="28"/>
        </w:rPr>
        <w:t> - субсидия на выполнение расходных обязательств муниципальных образований в сумме 119 027 300,00 рублей;</w:t>
      </w:r>
    </w:p>
    <w:p w:rsidR="002308CB" w:rsidRDefault="007B0681">
      <w:pPr>
        <w:ind w:firstLine="560"/>
        <w:jc w:val="both"/>
        <w:rPr>
          <w:color w:val="000000"/>
        </w:rPr>
      </w:pPr>
      <w:r>
        <w:rPr>
          <w:rFonts w:ascii="Times New Roman" w:eastAsia="Times New Roman" w:hAnsi="Times New Roman" w:cs="Times New Roman"/>
          <w:color w:val="000000"/>
          <w:sz w:val="28"/>
          <w:szCs w:val="28"/>
        </w:rPr>
        <w:t>- субвенции на возмещение расходов, связанны</w:t>
      </w:r>
      <w:r>
        <w:rPr>
          <w:rFonts w:ascii="Times New Roman" w:eastAsia="Times New Roman" w:hAnsi="Times New Roman" w:cs="Times New Roman"/>
          <w:color w:val="000000"/>
          <w:sz w:val="28"/>
          <w:szCs w:val="28"/>
        </w:rPr>
        <w:t xml:space="preserve">х с предоставлением меры социальной поддержки, установленной абзацем первым части 1 статьи 15 Закона </w:t>
      </w:r>
      <w:r>
        <w:rPr>
          <w:rFonts w:ascii="Times New Roman" w:eastAsia="Times New Roman" w:hAnsi="Times New Roman" w:cs="Times New Roman"/>
          <w:color w:val="000000"/>
          <w:sz w:val="28"/>
          <w:szCs w:val="28"/>
        </w:rPr>
        <w:lastRenderedPageBreak/>
        <w:t xml:space="preserve">Кировской области "Об образовании в Кировской области" в сумме 20 410 000,00 рублей по коду администратора доходов – финансовое управление, а используются </w:t>
      </w:r>
      <w:r>
        <w:rPr>
          <w:rFonts w:ascii="Times New Roman" w:eastAsia="Times New Roman" w:hAnsi="Times New Roman" w:cs="Times New Roman"/>
          <w:color w:val="000000"/>
          <w:sz w:val="28"/>
          <w:szCs w:val="28"/>
        </w:rPr>
        <w:t>на исполнение принятых расходных обязательств всеми получателями бюджетных средств муниципального района.</w:t>
      </w:r>
    </w:p>
    <w:p w:rsidR="002308CB" w:rsidRDefault="007B0681">
      <w:pPr>
        <w:jc w:val="both"/>
        <w:rPr>
          <w:color w:val="000000"/>
        </w:rPr>
      </w:pPr>
      <w:r>
        <w:rPr>
          <w:rFonts w:ascii="Times New Roman" w:eastAsia="Times New Roman" w:hAnsi="Times New Roman" w:cs="Times New Roman"/>
          <w:color w:val="000000"/>
          <w:sz w:val="28"/>
          <w:szCs w:val="28"/>
        </w:rPr>
        <w:t>        Расходная часть бюджета финансового управления за 2023 год исполнена в объеме  89 061 953,55 рублей или 100% к годовому плану.</w:t>
      </w:r>
    </w:p>
    <w:p w:rsidR="002308CB" w:rsidRDefault="007B0681">
      <w:pPr>
        <w:jc w:val="both"/>
        <w:rPr>
          <w:color w:val="000000"/>
        </w:rPr>
      </w:pPr>
      <w:r>
        <w:rPr>
          <w:rFonts w:ascii="Times New Roman" w:eastAsia="Times New Roman" w:hAnsi="Times New Roman" w:cs="Times New Roman"/>
          <w:color w:val="000000"/>
          <w:sz w:val="28"/>
          <w:szCs w:val="28"/>
        </w:rPr>
        <w:t>       Исполнен</w:t>
      </w:r>
      <w:r>
        <w:rPr>
          <w:rFonts w:ascii="Times New Roman" w:eastAsia="Times New Roman" w:hAnsi="Times New Roman" w:cs="Times New Roman"/>
          <w:color w:val="000000"/>
          <w:sz w:val="28"/>
          <w:szCs w:val="28"/>
        </w:rPr>
        <w:t xml:space="preserve">ие районного бюджета за отчетный период осуществлялось на основе сводной бюджетной росписи и кассового плана. </w:t>
      </w:r>
    </w:p>
    <w:p w:rsidR="002308CB" w:rsidRDefault="007B0681">
      <w:pPr>
        <w:jc w:val="both"/>
        <w:rPr>
          <w:color w:val="000000"/>
        </w:rPr>
      </w:pPr>
      <w:r>
        <w:rPr>
          <w:rFonts w:ascii="Times New Roman" w:eastAsia="Times New Roman" w:hAnsi="Times New Roman" w:cs="Times New Roman"/>
          <w:color w:val="000000"/>
          <w:sz w:val="28"/>
          <w:szCs w:val="28"/>
        </w:rPr>
        <w:t>        Штатная численность работников учреждения составляет 19,4 человек. Фактическая численность работников на конец отчетного периода составил</w:t>
      </w:r>
      <w:r>
        <w:rPr>
          <w:rFonts w:ascii="Times New Roman" w:eastAsia="Times New Roman" w:hAnsi="Times New Roman" w:cs="Times New Roman"/>
          <w:color w:val="000000"/>
          <w:sz w:val="28"/>
          <w:szCs w:val="28"/>
        </w:rPr>
        <w:t xml:space="preserve">а 18,4 человек. </w:t>
      </w:r>
    </w:p>
    <w:p w:rsidR="002308CB" w:rsidRDefault="007B0681">
      <w:pPr>
        <w:jc w:val="both"/>
        <w:rPr>
          <w:color w:val="000000"/>
        </w:rPr>
      </w:pPr>
      <w:r>
        <w:rPr>
          <w:rFonts w:ascii="Times New Roman" w:eastAsia="Times New Roman" w:hAnsi="Times New Roman" w:cs="Times New Roman"/>
          <w:color w:val="000000"/>
          <w:sz w:val="28"/>
          <w:szCs w:val="28"/>
        </w:rPr>
        <w:t>         Норматив формирования расходов на содержание финансового управления Слободского района на 2023 год соблюдался: при нормативе 12 000 000,00 рублей расходы составили 11 512 800,50 рублей.</w:t>
      </w:r>
    </w:p>
    <w:p w:rsidR="002308CB" w:rsidRDefault="007B0681">
      <w:pPr>
        <w:ind w:firstLine="700"/>
        <w:jc w:val="both"/>
        <w:rPr>
          <w:color w:val="000000"/>
        </w:rPr>
      </w:pPr>
      <w:r>
        <w:rPr>
          <w:rFonts w:ascii="Times New Roman" w:eastAsia="Times New Roman" w:hAnsi="Times New Roman" w:cs="Times New Roman"/>
          <w:color w:val="000000"/>
          <w:sz w:val="28"/>
          <w:szCs w:val="28"/>
        </w:rPr>
        <w:t>В рамках осуществления внутреннего муниципал</w:t>
      </w:r>
      <w:r>
        <w:rPr>
          <w:rFonts w:ascii="Times New Roman" w:eastAsia="Times New Roman" w:hAnsi="Times New Roman" w:cs="Times New Roman"/>
          <w:color w:val="000000"/>
          <w:sz w:val="28"/>
          <w:szCs w:val="28"/>
        </w:rPr>
        <w:t>ьного финансового контроля за 2023 год Финансовым управлением администрации Слободского муниципального района было проведено 12 плановых выездных проверок в отношении трех администраций сельских поселений Слободского района, МКУ "РМК Слободского района", М</w:t>
      </w:r>
      <w:r>
        <w:rPr>
          <w:rFonts w:ascii="Times New Roman" w:eastAsia="Times New Roman" w:hAnsi="Times New Roman" w:cs="Times New Roman"/>
          <w:color w:val="000000"/>
          <w:sz w:val="28"/>
          <w:szCs w:val="28"/>
        </w:rPr>
        <w:t xml:space="preserve">КДОУ д/с </w:t>
      </w:r>
      <w:proofErr w:type="spellStart"/>
      <w:r>
        <w:rPr>
          <w:rFonts w:ascii="Times New Roman" w:eastAsia="Times New Roman" w:hAnsi="Times New Roman" w:cs="Times New Roman"/>
          <w:color w:val="000000"/>
          <w:sz w:val="28"/>
          <w:szCs w:val="28"/>
        </w:rPr>
        <w:t>общеразвивающеговида</w:t>
      </w:r>
      <w:proofErr w:type="spellEnd"/>
      <w:r>
        <w:rPr>
          <w:rFonts w:ascii="Times New Roman" w:eastAsia="Times New Roman" w:hAnsi="Times New Roman" w:cs="Times New Roman"/>
          <w:color w:val="000000"/>
          <w:sz w:val="28"/>
          <w:szCs w:val="28"/>
        </w:rPr>
        <w:t xml:space="preserve"> № 7 </w:t>
      </w:r>
      <w:proofErr w:type="spellStart"/>
      <w:r>
        <w:rPr>
          <w:rFonts w:ascii="Times New Roman" w:eastAsia="Times New Roman" w:hAnsi="Times New Roman" w:cs="Times New Roman"/>
          <w:color w:val="000000"/>
          <w:sz w:val="28"/>
          <w:szCs w:val="28"/>
        </w:rPr>
        <w:t>пгт</w:t>
      </w:r>
      <w:proofErr w:type="spellEnd"/>
      <w:r>
        <w:rPr>
          <w:rFonts w:ascii="Times New Roman" w:eastAsia="Times New Roman" w:hAnsi="Times New Roman" w:cs="Times New Roman"/>
          <w:color w:val="000000"/>
          <w:sz w:val="28"/>
          <w:szCs w:val="28"/>
        </w:rPr>
        <w:t xml:space="preserve"> Вахруши, Управления образования </w:t>
      </w:r>
      <w:proofErr w:type="spellStart"/>
      <w:r>
        <w:rPr>
          <w:rFonts w:ascii="Times New Roman" w:eastAsia="Times New Roman" w:hAnsi="Times New Roman" w:cs="Times New Roman"/>
          <w:color w:val="000000"/>
          <w:sz w:val="28"/>
          <w:szCs w:val="28"/>
        </w:rPr>
        <w:t>Слоободского</w:t>
      </w:r>
      <w:proofErr w:type="spellEnd"/>
      <w:r>
        <w:rPr>
          <w:rFonts w:ascii="Times New Roman" w:eastAsia="Times New Roman" w:hAnsi="Times New Roman" w:cs="Times New Roman"/>
          <w:color w:val="000000"/>
          <w:sz w:val="28"/>
          <w:szCs w:val="28"/>
        </w:rPr>
        <w:t xml:space="preserve"> района, МКОУ ДО ЦВР, МКУ "Архив Слободского района", МКУ ДО "Детская школа искусств </w:t>
      </w:r>
      <w:proofErr w:type="spellStart"/>
      <w:r>
        <w:rPr>
          <w:rFonts w:ascii="Times New Roman" w:eastAsia="Times New Roman" w:hAnsi="Times New Roman" w:cs="Times New Roman"/>
          <w:color w:val="000000"/>
          <w:sz w:val="28"/>
          <w:szCs w:val="28"/>
        </w:rPr>
        <w:t>с.Бобино</w:t>
      </w:r>
      <w:proofErr w:type="spellEnd"/>
      <w:r>
        <w:rPr>
          <w:rFonts w:ascii="Times New Roman" w:eastAsia="Times New Roman" w:hAnsi="Times New Roman" w:cs="Times New Roman"/>
          <w:color w:val="000000"/>
          <w:sz w:val="28"/>
          <w:szCs w:val="28"/>
        </w:rPr>
        <w:t>", МКУ ДО "Ильинская детская музыкальная школа", МУП "Слободские пассажирские пер</w:t>
      </w:r>
      <w:r>
        <w:rPr>
          <w:rFonts w:ascii="Times New Roman" w:eastAsia="Times New Roman" w:hAnsi="Times New Roman" w:cs="Times New Roman"/>
          <w:color w:val="000000"/>
          <w:sz w:val="28"/>
          <w:szCs w:val="28"/>
        </w:rPr>
        <w:t>евозки", МУП "Теплопроводность".</w:t>
      </w:r>
    </w:p>
    <w:p w:rsidR="002308CB" w:rsidRDefault="007B0681">
      <w:pPr>
        <w:ind w:firstLine="700"/>
        <w:jc w:val="both"/>
        <w:rPr>
          <w:color w:val="000000"/>
        </w:rPr>
      </w:pPr>
      <w:r>
        <w:rPr>
          <w:rFonts w:ascii="Times New Roman" w:eastAsia="Times New Roman" w:hAnsi="Times New Roman" w:cs="Times New Roman"/>
          <w:color w:val="000000"/>
          <w:sz w:val="28"/>
          <w:szCs w:val="28"/>
        </w:rPr>
        <w:t>План контрольных мероприятий в 2023 году выполнен в полном объеме.</w:t>
      </w:r>
    </w:p>
    <w:p w:rsidR="002308CB" w:rsidRDefault="007B0681">
      <w:pPr>
        <w:ind w:firstLine="700"/>
        <w:jc w:val="both"/>
        <w:rPr>
          <w:color w:val="000000"/>
        </w:rPr>
      </w:pPr>
      <w:r>
        <w:rPr>
          <w:rFonts w:ascii="Times New Roman" w:eastAsia="Times New Roman" w:hAnsi="Times New Roman" w:cs="Times New Roman"/>
          <w:color w:val="000000"/>
          <w:sz w:val="28"/>
          <w:szCs w:val="28"/>
        </w:rPr>
        <w:t>Общий объем проверенных средств бюджета муниципального района составил 367,7 млн. рублей.</w:t>
      </w:r>
    </w:p>
    <w:p w:rsidR="002308CB" w:rsidRDefault="007B0681">
      <w:pPr>
        <w:ind w:firstLine="700"/>
        <w:jc w:val="both"/>
        <w:rPr>
          <w:color w:val="000000"/>
        </w:rPr>
      </w:pPr>
      <w:r>
        <w:rPr>
          <w:rFonts w:ascii="Times New Roman" w:eastAsia="Times New Roman" w:hAnsi="Times New Roman" w:cs="Times New Roman"/>
          <w:color w:val="000000"/>
          <w:sz w:val="28"/>
          <w:szCs w:val="28"/>
        </w:rPr>
        <w:t>В адрес проверяемых организаций в 2023 году было вынесено 7 предст</w:t>
      </w:r>
      <w:r>
        <w:rPr>
          <w:rFonts w:ascii="Times New Roman" w:eastAsia="Times New Roman" w:hAnsi="Times New Roman" w:cs="Times New Roman"/>
          <w:color w:val="000000"/>
          <w:sz w:val="28"/>
          <w:szCs w:val="28"/>
        </w:rPr>
        <w:t xml:space="preserve">авлений. </w:t>
      </w:r>
    </w:p>
    <w:p w:rsidR="002308CB" w:rsidRDefault="007B0681">
      <w:pPr>
        <w:ind w:firstLine="540"/>
        <w:jc w:val="both"/>
        <w:rPr>
          <w:color w:val="000000"/>
        </w:rPr>
      </w:pPr>
      <w:r>
        <w:rPr>
          <w:rFonts w:ascii="Times New Roman" w:eastAsia="Times New Roman" w:hAnsi="Times New Roman" w:cs="Times New Roman"/>
          <w:color w:val="000000"/>
          <w:sz w:val="28"/>
          <w:szCs w:val="28"/>
        </w:rPr>
        <w:t xml:space="preserve">Кроме того, в муниципальных учреждениях проведено 9 плановых проверок и 4 внеплановых </w:t>
      </w:r>
      <w:proofErr w:type="spellStart"/>
      <w:r>
        <w:rPr>
          <w:rFonts w:ascii="Times New Roman" w:eastAsia="Times New Roman" w:hAnsi="Times New Roman" w:cs="Times New Roman"/>
          <w:color w:val="000000"/>
          <w:sz w:val="28"/>
          <w:szCs w:val="28"/>
        </w:rPr>
        <w:t>провекри</w:t>
      </w:r>
      <w:proofErr w:type="spellEnd"/>
      <w:r>
        <w:rPr>
          <w:rFonts w:ascii="Times New Roman" w:eastAsia="Times New Roman" w:hAnsi="Times New Roman" w:cs="Times New Roman"/>
          <w:color w:val="000000"/>
          <w:sz w:val="28"/>
          <w:szCs w:val="28"/>
        </w:rPr>
        <w:t xml:space="preserve"> соблюдения требований законодательства в сфере закупок. В адрес руководителей проверяемых учреждений направлены Предписания.</w:t>
      </w:r>
    </w:p>
    <w:p w:rsidR="002308CB" w:rsidRDefault="007B0681">
      <w:pPr>
        <w:jc w:val="both"/>
        <w:rPr>
          <w:color w:val="000000"/>
        </w:rPr>
      </w:pPr>
      <w:r>
        <w:rPr>
          <w:rFonts w:ascii="Times New Roman" w:eastAsia="Times New Roman" w:hAnsi="Times New Roman" w:cs="Times New Roman"/>
          <w:color w:val="000000"/>
          <w:sz w:val="28"/>
          <w:szCs w:val="28"/>
        </w:rPr>
        <w:t>        В 2023 году Финанс</w:t>
      </w:r>
      <w:r>
        <w:rPr>
          <w:rFonts w:ascii="Times New Roman" w:eastAsia="Times New Roman" w:hAnsi="Times New Roman" w:cs="Times New Roman"/>
          <w:color w:val="000000"/>
          <w:sz w:val="28"/>
          <w:szCs w:val="28"/>
        </w:rPr>
        <w:t xml:space="preserve">овым управлением Слободского района проведен один аукцион с начальной ценой контракта 2 626,9 </w:t>
      </w:r>
      <w:proofErr w:type="spellStart"/>
      <w:r>
        <w:rPr>
          <w:rFonts w:ascii="Times New Roman" w:eastAsia="Times New Roman" w:hAnsi="Times New Roman" w:cs="Times New Roman"/>
          <w:color w:val="000000"/>
          <w:sz w:val="28"/>
          <w:szCs w:val="28"/>
        </w:rPr>
        <w:t>тыс.руб</w:t>
      </w:r>
      <w:proofErr w:type="spellEnd"/>
      <w:r>
        <w:rPr>
          <w:rFonts w:ascii="Times New Roman" w:eastAsia="Times New Roman" w:hAnsi="Times New Roman" w:cs="Times New Roman"/>
          <w:color w:val="000000"/>
          <w:sz w:val="28"/>
          <w:szCs w:val="28"/>
        </w:rPr>
        <w:t xml:space="preserve">., цена контракта составила 2 398,9 </w:t>
      </w:r>
      <w:proofErr w:type="spellStart"/>
      <w:r>
        <w:rPr>
          <w:rFonts w:ascii="Times New Roman" w:eastAsia="Times New Roman" w:hAnsi="Times New Roman" w:cs="Times New Roman"/>
          <w:color w:val="000000"/>
          <w:sz w:val="28"/>
          <w:szCs w:val="28"/>
        </w:rPr>
        <w:t>тыс.руб</w:t>
      </w:r>
      <w:proofErr w:type="spellEnd"/>
      <w:r>
        <w:rPr>
          <w:rFonts w:ascii="Times New Roman" w:eastAsia="Times New Roman" w:hAnsi="Times New Roman" w:cs="Times New Roman"/>
          <w:color w:val="000000"/>
          <w:sz w:val="28"/>
          <w:szCs w:val="28"/>
        </w:rPr>
        <w:t xml:space="preserve">. Экономия по результатам аукциона составила 228 </w:t>
      </w:r>
      <w:proofErr w:type="spellStart"/>
      <w:r>
        <w:rPr>
          <w:rFonts w:ascii="Times New Roman" w:eastAsia="Times New Roman" w:hAnsi="Times New Roman" w:cs="Times New Roman"/>
          <w:color w:val="000000"/>
          <w:sz w:val="28"/>
          <w:szCs w:val="28"/>
        </w:rPr>
        <w:t>тыс.руб</w:t>
      </w:r>
      <w:proofErr w:type="spellEnd"/>
      <w:r>
        <w:rPr>
          <w:rFonts w:ascii="Times New Roman" w:eastAsia="Times New Roman" w:hAnsi="Times New Roman" w:cs="Times New Roman"/>
          <w:color w:val="000000"/>
          <w:sz w:val="28"/>
          <w:szCs w:val="28"/>
        </w:rPr>
        <w:t xml:space="preserve">. </w:t>
      </w:r>
    </w:p>
    <w:p w:rsidR="002308CB" w:rsidRDefault="007B0681">
      <w:pPr>
        <w:jc w:val="both"/>
        <w:rPr>
          <w:color w:val="000000"/>
        </w:rPr>
      </w:pPr>
      <w:r>
        <w:rPr>
          <w:rFonts w:ascii="Times New Roman" w:eastAsia="Times New Roman" w:hAnsi="Times New Roman" w:cs="Times New Roman"/>
          <w:color w:val="000000"/>
          <w:sz w:val="28"/>
          <w:szCs w:val="28"/>
        </w:rPr>
        <w:t xml:space="preserve">        На 2023 год согласно плана-графика закупки </w:t>
      </w:r>
      <w:r>
        <w:rPr>
          <w:rFonts w:ascii="Times New Roman" w:eastAsia="Times New Roman" w:hAnsi="Times New Roman" w:cs="Times New Roman"/>
          <w:color w:val="000000"/>
          <w:sz w:val="28"/>
          <w:szCs w:val="28"/>
        </w:rPr>
        <w:t xml:space="preserve">товара, работ или услуг на сумму не превышающую 600 </w:t>
      </w:r>
      <w:proofErr w:type="spellStart"/>
      <w:r>
        <w:rPr>
          <w:rFonts w:ascii="Times New Roman" w:eastAsia="Times New Roman" w:hAnsi="Times New Roman" w:cs="Times New Roman"/>
          <w:color w:val="000000"/>
          <w:sz w:val="28"/>
          <w:szCs w:val="28"/>
        </w:rPr>
        <w:t>тыс.руб</w:t>
      </w:r>
      <w:proofErr w:type="spellEnd"/>
      <w:r>
        <w:rPr>
          <w:rFonts w:ascii="Times New Roman" w:eastAsia="Times New Roman" w:hAnsi="Times New Roman" w:cs="Times New Roman"/>
          <w:color w:val="000000"/>
          <w:sz w:val="28"/>
          <w:szCs w:val="28"/>
        </w:rPr>
        <w:t xml:space="preserve">. составляет 462,5 </w:t>
      </w:r>
      <w:proofErr w:type="spellStart"/>
      <w:r>
        <w:rPr>
          <w:rFonts w:ascii="Times New Roman" w:eastAsia="Times New Roman" w:hAnsi="Times New Roman" w:cs="Times New Roman"/>
          <w:color w:val="000000"/>
          <w:sz w:val="28"/>
          <w:szCs w:val="28"/>
        </w:rPr>
        <w:t>тыс.рублей</w:t>
      </w:r>
      <w:proofErr w:type="spellEnd"/>
      <w:r>
        <w:rPr>
          <w:rFonts w:ascii="Times New Roman" w:eastAsia="Times New Roman" w:hAnsi="Times New Roman" w:cs="Times New Roman"/>
          <w:color w:val="000000"/>
          <w:sz w:val="28"/>
          <w:szCs w:val="28"/>
        </w:rPr>
        <w:t xml:space="preserve">, фактически заключен 51 контракт на сумму 456 </w:t>
      </w:r>
      <w:proofErr w:type="spellStart"/>
      <w:r>
        <w:rPr>
          <w:rFonts w:ascii="Times New Roman" w:eastAsia="Times New Roman" w:hAnsi="Times New Roman" w:cs="Times New Roman"/>
          <w:color w:val="000000"/>
          <w:sz w:val="28"/>
          <w:szCs w:val="28"/>
        </w:rPr>
        <w:t>тыс.рублей</w:t>
      </w:r>
      <w:proofErr w:type="spellEnd"/>
      <w:r>
        <w:rPr>
          <w:rFonts w:ascii="Times New Roman" w:eastAsia="Times New Roman" w:hAnsi="Times New Roman" w:cs="Times New Roman"/>
          <w:color w:val="000000"/>
          <w:sz w:val="28"/>
          <w:szCs w:val="28"/>
        </w:rPr>
        <w:t>, в том числе 12 контрактов через Портал малых закупок и Биржевую площадку. Эффективность от использования серв</w:t>
      </w:r>
      <w:r>
        <w:rPr>
          <w:rFonts w:ascii="Times New Roman" w:eastAsia="Times New Roman" w:hAnsi="Times New Roman" w:cs="Times New Roman"/>
          <w:color w:val="000000"/>
          <w:sz w:val="28"/>
          <w:szCs w:val="28"/>
        </w:rPr>
        <w:t>исов "Портал закупок малого объема Кировской области" и "Биржевая площадка" составила 38 тыс. рублей.</w:t>
      </w:r>
    </w:p>
    <w:p w:rsidR="002308CB" w:rsidRDefault="007B0681">
      <w:pPr>
        <w:jc w:val="both"/>
        <w:rPr>
          <w:color w:val="000000"/>
        </w:rPr>
      </w:pPr>
      <w:r>
        <w:rPr>
          <w:rFonts w:ascii="Times New Roman" w:eastAsia="Times New Roman" w:hAnsi="Times New Roman" w:cs="Times New Roman"/>
          <w:color w:val="000000"/>
          <w:sz w:val="28"/>
          <w:szCs w:val="28"/>
        </w:rPr>
        <w:lastRenderedPageBreak/>
        <w:t>     В отчетном году осуществлялась умеренная долговая политика, обеспечивающая приведение доходной части бюджета с учетом источников финансирования в соо</w:t>
      </w:r>
      <w:r>
        <w:rPr>
          <w:rFonts w:ascii="Times New Roman" w:eastAsia="Times New Roman" w:hAnsi="Times New Roman" w:cs="Times New Roman"/>
          <w:color w:val="000000"/>
          <w:sz w:val="28"/>
          <w:szCs w:val="28"/>
        </w:rPr>
        <w:t>тветствие с необходимыми расходами и обязательствами.        В течение 2023 года за счет за счет бюджетных ассигнований, предусмотренных финансовому управлению Слободского района, было обучено:</w:t>
      </w:r>
    </w:p>
    <w:p w:rsidR="002308CB" w:rsidRDefault="007B0681">
      <w:pPr>
        <w:ind w:firstLine="700"/>
        <w:jc w:val="both"/>
        <w:rPr>
          <w:color w:val="000000"/>
        </w:rPr>
      </w:pPr>
      <w:r>
        <w:rPr>
          <w:rFonts w:ascii="Times New Roman" w:eastAsia="Times New Roman" w:hAnsi="Times New Roman" w:cs="Times New Roman"/>
          <w:color w:val="000000"/>
          <w:sz w:val="28"/>
          <w:szCs w:val="28"/>
        </w:rPr>
        <w:t>- по дополнительным профессиональным программам, в соответстви</w:t>
      </w:r>
      <w:r>
        <w:rPr>
          <w:rFonts w:ascii="Times New Roman" w:eastAsia="Times New Roman" w:hAnsi="Times New Roman" w:cs="Times New Roman"/>
          <w:color w:val="000000"/>
          <w:sz w:val="28"/>
          <w:szCs w:val="28"/>
        </w:rPr>
        <w:t>и с планом мероприятий по профессиональному развитию, 4 муниципальных служащих;</w:t>
      </w:r>
    </w:p>
    <w:p w:rsidR="002308CB" w:rsidRDefault="007B0681">
      <w:pPr>
        <w:ind w:firstLine="700"/>
        <w:jc w:val="both"/>
        <w:rPr>
          <w:color w:val="000000"/>
        </w:rPr>
      </w:pPr>
      <w:r>
        <w:rPr>
          <w:rFonts w:ascii="Times New Roman" w:eastAsia="Times New Roman" w:hAnsi="Times New Roman" w:cs="Times New Roman"/>
          <w:color w:val="000000"/>
          <w:sz w:val="28"/>
          <w:szCs w:val="28"/>
        </w:rPr>
        <w:t>- 2 муниципальных служащих, приняли участие в семинарах на темы в соответствующих областях деятельности.</w:t>
      </w:r>
    </w:p>
    <w:p w:rsidR="002308CB" w:rsidRDefault="007B0681">
      <w:pPr>
        <w:ind w:firstLine="700"/>
        <w:jc w:val="both"/>
        <w:rPr>
          <w:color w:val="000000"/>
        </w:rPr>
      </w:pPr>
      <w:r>
        <w:rPr>
          <w:rFonts w:ascii="Times New Roman" w:eastAsia="Times New Roman" w:hAnsi="Times New Roman" w:cs="Times New Roman"/>
          <w:color w:val="000000"/>
          <w:sz w:val="28"/>
          <w:szCs w:val="28"/>
        </w:rPr>
        <w:t>Тематика и содержание программ обучения и семинаров была сформирована с</w:t>
      </w:r>
      <w:r>
        <w:rPr>
          <w:rFonts w:ascii="Times New Roman" w:eastAsia="Times New Roman" w:hAnsi="Times New Roman" w:cs="Times New Roman"/>
          <w:color w:val="000000"/>
          <w:sz w:val="28"/>
          <w:szCs w:val="28"/>
        </w:rPr>
        <w:t xml:space="preserve"> учетом целей и задач стоящих перед Финансовым управлением.</w:t>
      </w:r>
    </w:p>
    <w:p w:rsidR="002308CB" w:rsidRDefault="007B0681">
      <w:pPr>
        <w:ind w:firstLine="700"/>
        <w:jc w:val="both"/>
        <w:rPr>
          <w:color w:val="000000"/>
        </w:rPr>
      </w:pPr>
      <w:r>
        <w:rPr>
          <w:rFonts w:ascii="Times New Roman" w:eastAsia="Times New Roman" w:hAnsi="Times New Roman" w:cs="Times New Roman"/>
          <w:color w:val="000000"/>
          <w:sz w:val="28"/>
          <w:szCs w:val="28"/>
        </w:rPr>
        <w:t xml:space="preserve">Учреждение снабжено компьютерной, копировальной техникой. Устаревшая </w:t>
      </w:r>
      <w:proofErr w:type="spellStart"/>
      <w:r>
        <w:rPr>
          <w:rFonts w:ascii="Times New Roman" w:eastAsia="Times New Roman" w:hAnsi="Times New Roman" w:cs="Times New Roman"/>
          <w:color w:val="000000"/>
          <w:sz w:val="28"/>
          <w:szCs w:val="28"/>
        </w:rPr>
        <w:t>компьтерная</w:t>
      </w:r>
      <w:proofErr w:type="spellEnd"/>
      <w:r>
        <w:rPr>
          <w:rFonts w:ascii="Times New Roman" w:eastAsia="Times New Roman" w:hAnsi="Times New Roman" w:cs="Times New Roman"/>
          <w:color w:val="000000"/>
          <w:sz w:val="28"/>
          <w:szCs w:val="28"/>
        </w:rPr>
        <w:t xml:space="preserve"> техника и </w:t>
      </w:r>
      <w:proofErr w:type="spellStart"/>
      <w:r>
        <w:rPr>
          <w:rFonts w:ascii="Times New Roman" w:eastAsia="Times New Roman" w:hAnsi="Times New Roman" w:cs="Times New Roman"/>
          <w:color w:val="000000"/>
          <w:sz w:val="28"/>
          <w:szCs w:val="28"/>
        </w:rPr>
        <w:t>переферийное</w:t>
      </w:r>
      <w:proofErr w:type="spellEnd"/>
      <w:r>
        <w:rPr>
          <w:rFonts w:ascii="Times New Roman" w:eastAsia="Times New Roman" w:hAnsi="Times New Roman" w:cs="Times New Roman"/>
          <w:color w:val="000000"/>
          <w:sz w:val="28"/>
          <w:szCs w:val="28"/>
        </w:rPr>
        <w:t xml:space="preserve"> оборудование своевременно обновляется. Учреждение имеет сайт в сети Интернет, который находи</w:t>
      </w:r>
      <w:r>
        <w:rPr>
          <w:rFonts w:ascii="Times New Roman" w:eastAsia="Times New Roman" w:hAnsi="Times New Roman" w:cs="Times New Roman"/>
          <w:color w:val="000000"/>
          <w:sz w:val="28"/>
          <w:szCs w:val="28"/>
        </w:rPr>
        <w:t>тся в актуальном состоянии.</w:t>
      </w:r>
    </w:p>
    <w:p w:rsidR="002308CB" w:rsidRDefault="007B0681">
      <w:pPr>
        <w:jc w:val="both"/>
        <w:rPr>
          <w:color w:val="000000"/>
        </w:rPr>
      </w:pPr>
      <w:r>
        <w:rPr>
          <w:rFonts w:ascii="Times New Roman" w:eastAsia="Times New Roman" w:hAnsi="Times New Roman" w:cs="Times New Roman"/>
          <w:color w:val="000000"/>
          <w:sz w:val="28"/>
          <w:szCs w:val="28"/>
        </w:rPr>
        <w:t> </w:t>
      </w:r>
    </w:p>
    <w:p w:rsidR="002308CB" w:rsidRDefault="007B0681">
      <w:pPr>
        <w:jc w:val="center"/>
        <w:rPr>
          <w:color w:val="000000"/>
        </w:rPr>
      </w:pPr>
      <w:r>
        <w:rPr>
          <w:rFonts w:ascii="Times New Roman" w:eastAsia="Times New Roman" w:hAnsi="Times New Roman" w:cs="Times New Roman"/>
          <w:b/>
          <w:color w:val="000000"/>
          <w:sz w:val="28"/>
          <w:szCs w:val="28"/>
        </w:rPr>
        <w:t>Раздел 3 «Анализ отчета  об исполнении бюджета финансового управления Слободского района»</w:t>
      </w:r>
    </w:p>
    <w:p w:rsidR="002308CB" w:rsidRDefault="007B0681">
      <w:pPr>
        <w:jc w:val="center"/>
        <w:rPr>
          <w:color w:val="000000"/>
        </w:rPr>
      </w:pPr>
      <w:r>
        <w:rPr>
          <w:rFonts w:ascii="Times New Roman" w:eastAsia="Times New Roman" w:hAnsi="Times New Roman" w:cs="Times New Roman"/>
          <w:b/>
          <w:color w:val="000000"/>
          <w:sz w:val="28"/>
          <w:szCs w:val="28"/>
        </w:rPr>
        <w:t> </w:t>
      </w:r>
    </w:p>
    <w:p w:rsidR="002308CB" w:rsidRDefault="007B0681">
      <w:pPr>
        <w:jc w:val="both"/>
        <w:rPr>
          <w:color w:val="000000"/>
        </w:rPr>
      </w:pPr>
      <w:r>
        <w:rPr>
          <w:rFonts w:ascii="Times New Roman" w:eastAsia="Times New Roman" w:hAnsi="Times New Roman" w:cs="Times New Roman"/>
          <w:color w:val="000000"/>
          <w:sz w:val="28"/>
          <w:szCs w:val="28"/>
        </w:rPr>
        <w:t>Сведения об исполнении текстовых статей решения о бюджете за 2023 год представлены в Таблице №3.</w:t>
      </w:r>
    </w:p>
    <w:p w:rsidR="002308CB" w:rsidRDefault="007B0681">
      <w:pPr>
        <w:jc w:val="both"/>
        <w:rPr>
          <w:color w:val="000000"/>
        </w:rPr>
      </w:pPr>
      <w:r>
        <w:rPr>
          <w:rFonts w:ascii="Times New Roman" w:eastAsia="Times New Roman" w:hAnsi="Times New Roman" w:cs="Times New Roman"/>
          <w:color w:val="000000"/>
          <w:sz w:val="28"/>
          <w:szCs w:val="28"/>
        </w:rPr>
        <w:t>     План по доходам финансового упра</w:t>
      </w:r>
      <w:r>
        <w:rPr>
          <w:rFonts w:ascii="Times New Roman" w:eastAsia="Times New Roman" w:hAnsi="Times New Roman" w:cs="Times New Roman"/>
          <w:color w:val="000000"/>
          <w:sz w:val="28"/>
          <w:szCs w:val="28"/>
        </w:rPr>
        <w:t>вления за 2023 год выполнен в сумме 217 353 503,65 рублей, или на 99,87 % к уточненному годовому плану. По расходам бюджет выполнен на 85 071 416,22 рублей или 99,9 % к годовому плану. Проценты, полученные от предоставления бюджетных кредитов поселениям за</w:t>
      </w:r>
      <w:r>
        <w:rPr>
          <w:rFonts w:ascii="Times New Roman" w:eastAsia="Times New Roman" w:hAnsi="Times New Roman" w:cs="Times New Roman"/>
          <w:color w:val="000000"/>
          <w:sz w:val="28"/>
          <w:szCs w:val="28"/>
        </w:rPr>
        <w:t xml:space="preserve"> счет средств бюджетов муниципальных районов по плану 3 500,00 рублей, исполнено 3 440,06 рублей или 99,57% от утвержденного годового плана по причине округления плановых назначений.</w:t>
      </w:r>
    </w:p>
    <w:p w:rsidR="002308CB" w:rsidRDefault="007B0681">
      <w:pPr>
        <w:jc w:val="both"/>
        <w:rPr>
          <w:color w:val="000000"/>
        </w:rPr>
      </w:pPr>
      <w:r>
        <w:rPr>
          <w:rFonts w:ascii="Times New Roman" w:eastAsia="Times New Roman" w:hAnsi="Times New Roman" w:cs="Times New Roman"/>
          <w:color w:val="000000"/>
          <w:sz w:val="28"/>
          <w:szCs w:val="28"/>
        </w:rPr>
        <w:t xml:space="preserve">      По состоянию на 01.01.2024 невыясненных поступлений по финансовому </w:t>
      </w:r>
      <w:r>
        <w:rPr>
          <w:rFonts w:ascii="Times New Roman" w:eastAsia="Times New Roman" w:hAnsi="Times New Roman" w:cs="Times New Roman"/>
          <w:color w:val="000000"/>
          <w:sz w:val="28"/>
          <w:szCs w:val="28"/>
        </w:rPr>
        <w:t xml:space="preserve">управлению Слободского района не числится. </w:t>
      </w:r>
    </w:p>
    <w:p w:rsidR="002308CB" w:rsidRDefault="007B0681">
      <w:pPr>
        <w:jc w:val="both"/>
        <w:rPr>
          <w:color w:val="000000"/>
        </w:rPr>
      </w:pPr>
      <w:r>
        <w:rPr>
          <w:rFonts w:ascii="Times New Roman" w:eastAsia="Times New Roman" w:hAnsi="Times New Roman" w:cs="Times New Roman"/>
          <w:color w:val="000000"/>
          <w:sz w:val="28"/>
          <w:szCs w:val="28"/>
        </w:rPr>
        <w:t xml:space="preserve">    В общей сумме расходов предусмотрено финансирование трех муниципальных программ на общую сумму 89 068 347,50  рублей или на 100% от утвержденного плана. </w:t>
      </w:r>
    </w:p>
    <w:p w:rsidR="002308CB" w:rsidRDefault="007B0681">
      <w:pPr>
        <w:jc w:val="both"/>
        <w:rPr>
          <w:color w:val="000000"/>
        </w:rPr>
      </w:pPr>
      <w:r>
        <w:rPr>
          <w:rFonts w:ascii="Times New Roman" w:eastAsia="Times New Roman" w:hAnsi="Times New Roman" w:cs="Times New Roman"/>
          <w:color w:val="000000"/>
          <w:sz w:val="28"/>
          <w:szCs w:val="28"/>
        </w:rPr>
        <w:t>     В 2023 году учреждение не принимало бюджетные и д</w:t>
      </w:r>
      <w:r>
        <w:rPr>
          <w:rFonts w:ascii="Times New Roman" w:eastAsia="Times New Roman" w:hAnsi="Times New Roman" w:cs="Times New Roman"/>
          <w:color w:val="000000"/>
          <w:sz w:val="28"/>
          <w:szCs w:val="28"/>
        </w:rPr>
        <w:t>енежные обязательства сверх утвержденных бюджетных назначений.</w:t>
      </w:r>
    </w:p>
    <w:p w:rsidR="002308CB" w:rsidRDefault="007B0681">
      <w:pPr>
        <w:jc w:val="center"/>
        <w:rPr>
          <w:color w:val="000000"/>
        </w:rPr>
      </w:pPr>
      <w:r>
        <w:rPr>
          <w:rFonts w:ascii="Times New Roman" w:eastAsia="Times New Roman" w:hAnsi="Times New Roman" w:cs="Times New Roman"/>
          <w:b/>
          <w:color w:val="000000"/>
          <w:sz w:val="28"/>
          <w:szCs w:val="28"/>
        </w:rPr>
        <w:t> </w:t>
      </w:r>
    </w:p>
    <w:p w:rsidR="002308CB" w:rsidRDefault="007B0681">
      <w:pPr>
        <w:jc w:val="center"/>
        <w:rPr>
          <w:color w:val="000000"/>
        </w:rPr>
      </w:pPr>
      <w:r>
        <w:rPr>
          <w:rFonts w:ascii="Times New Roman" w:eastAsia="Times New Roman" w:hAnsi="Times New Roman" w:cs="Times New Roman"/>
          <w:b/>
          <w:color w:val="000000"/>
          <w:sz w:val="28"/>
          <w:szCs w:val="28"/>
        </w:rPr>
        <w:t>Раздел 4 «Анализ показателей финансовой отчетности финансового управления Слободского района»</w:t>
      </w:r>
    </w:p>
    <w:p w:rsidR="002308CB" w:rsidRDefault="007B0681">
      <w:pPr>
        <w:jc w:val="both"/>
        <w:rPr>
          <w:color w:val="000000"/>
        </w:rPr>
      </w:pPr>
      <w:r>
        <w:rPr>
          <w:rFonts w:ascii="Times New Roman" w:eastAsia="Times New Roman" w:hAnsi="Times New Roman" w:cs="Times New Roman"/>
          <w:b/>
          <w:color w:val="000000"/>
          <w:sz w:val="28"/>
          <w:szCs w:val="28"/>
        </w:rPr>
        <w:t>         </w:t>
      </w:r>
    </w:p>
    <w:p w:rsidR="002308CB" w:rsidRDefault="007B0681">
      <w:pPr>
        <w:jc w:val="both"/>
        <w:rPr>
          <w:color w:val="000000"/>
        </w:rPr>
      </w:pPr>
      <w:r>
        <w:rPr>
          <w:rFonts w:ascii="Times New Roman" w:eastAsia="Times New Roman" w:hAnsi="Times New Roman" w:cs="Times New Roman"/>
          <w:b/>
          <w:color w:val="000000"/>
          <w:sz w:val="28"/>
          <w:szCs w:val="28"/>
        </w:rPr>
        <w:lastRenderedPageBreak/>
        <w:t>        </w:t>
      </w:r>
      <w:r>
        <w:rPr>
          <w:rFonts w:ascii="Times New Roman" w:eastAsia="Times New Roman" w:hAnsi="Times New Roman" w:cs="Times New Roman"/>
          <w:color w:val="000000"/>
          <w:sz w:val="28"/>
          <w:szCs w:val="28"/>
        </w:rPr>
        <w:t>В учреждении числится в наличии на конец отчетного периода по балансовой стоимо</w:t>
      </w:r>
      <w:r>
        <w:rPr>
          <w:rFonts w:ascii="Times New Roman" w:eastAsia="Times New Roman" w:hAnsi="Times New Roman" w:cs="Times New Roman"/>
          <w:color w:val="000000"/>
          <w:sz w:val="28"/>
          <w:szCs w:val="28"/>
        </w:rPr>
        <w:t>сти основных средств на сумму 1236674,91 рублей, в том числе:</w:t>
      </w:r>
    </w:p>
    <w:p w:rsidR="002308CB" w:rsidRDefault="007B0681">
      <w:pPr>
        <w:jc w:val="both"/>
        <w:rPr>
          <w:color w:val="000000"/>
        </w:rPr>
      </w:pPr>
      <w:r>
        <w:rPr>
          <w:rFonts w:ascii="Times New Roman" w:eastAsia="Times New Roman" w:hAnsi="Times New Roman" w:cs="Times New Roman"/>
          <w:color w:val="000000"/>
          <w:sz w:val="28"/>
          <w:szCs w:val="28"/>
        </w:rPr>
        <w:t>- машины и оборудование на сумму 968730,00 рублей;</w:t>
      </w:r>
    </w:p>
    <w:p w:rsidR="002308CB" w:rsidRDefault="007B0681">
      <w:pPr>
        <w:jc w:val="both"/>
        <w:rPr>
          <w:color w:val="000000"/>
        </w:rPr>
      </w:pPr>
      <w:r>
        <w:rPr>
          <w:rFonts w:ascii="Times New Roman" w:eastAsia="Times New Roman" w:hAnsi="Times New Roman" w:cs="Times New Roman"/>
          <w:color w:val="000000"/>
          <w:sz w:val="28"/>
          <w:szCs w:val="28"/>
        </w:rPr>
        <w:t xml:space="preserve">- инвентарь производственный и хозяйственный на сумму 267944,91 рублей. Амортизация основных средств на конец отчетного периода составляет 1236674,91 рублей. </w:t>
      </w:r>
    </w:p>
    <w:p w:rsidR="002308CB" w:rsidRDefault="007B0681">
      <w:pPr>
        <w:jc w:val="both"/>
        <w:rPr>
          <w:color w:val="000000"/>
        </w:rPr>
      </w:pPr>
      <w:r>
        <w:rPr>
          <w:rFonts w:ascii="Times New Roman" w:eastAsia="Times New Roman" w:hAnsi="Times New Roman" w:cs="Times New Roman"/>
          <w:color w:val="000000"/>
          <w:sz w:val="28"/>
          <w:szCs w:val="28"/>
        </w:rPr>
        <w:t>        В течение 2023 года поступило основных средств на сумму 10583,00 рублей, в том числе прио</w:t>
      </w:r>
      <w:r>
        <w:rPr>
          <w:rFonts w:ascii="Times New Roman" w:eastAsia="Times New Roman" w:hAnsi="Times New Roman" w:cs="Times New Roman"/>
          <w:color w:val="000000"/>
          <w:sz w:val="28"/>
          <w:szCs w:val="28"/>
        </w:rPr>
        <w:t xml:space="preserve">бретены электрический чайник на сумму 1499,00 рублей, светильники в количестве 4 шт. на сумму 2784,00 рублей, жалюзи вертикальные на сумму 6300,00 рублей. </w:t>
      </w:r>
    </w:p>
    <w:p w:rsidR="002308CB" w:rsidRDefault="007B0681">
      <w:pPr>
        <w:jc w:val="both"/>
        <w:rPr>
          <w:color w:val="000000"/>
        </w:rPr>
      </w:pPr>
      <w:r>
        <w:rPr>
          <w:rFonts w:ascii="Times New Roman" w:eastAsia="Times New Roman" w:hAnsi="Times New Roman" w:cs="Times New Roman"/>
          <w:color w:val="000000"/>
          <w:sz w:val="28"/>
          <w:szCs w:val="28"/>
        </w:rPr>
        <w:t>         В течение 2023 года выбыло основных средств на сумму 10583,00 рублей в связи со списанием н</w:t>
      </w:r>
      <w:r>
        <w:rPr>
          <w:rFonts w:ascii="Times New Roman" w:eastAsia="Times New Roman" w:hAnsi="Times New Roman" w:cs="Times New Roman"/>
          <w:color w:val="000000"/>
          <w:sz w:val="28"/>
          <w:szCs w:val="28"/>
        </w:rPr>
        <w:t>а забалансовый счет 21. Для поддержания технического состояния основных средств проводилось их плановое техническое обслуживание. Недостачи и порчи имущества в 2023 году не выявлено. Основные средства использовались для нужд учреждения по своему целевому н</w:t>
      </w:r>
      <w:r>
        <w:rPr>
          <w:rFonts w:ascii="Times New Roman" w:eastAsia="Times New Roman" w:hAnsi="Times New Roman" w:cs="Times New Roman"/>
          <w:color w:val="000000"/>
          <w:sz w:val="28"/>
          <w:szCs w:val="28"/>
        </w:rPr>
        <w:t>азначению. Материальных запасов  в течение 2023 года поступило на сумму 125756,01 рублей, в том числе строительных материалов на сумму 32425,51 рублей. Списано на нужды учреждения на сумму 127625,56 рублей.</w:t>
      </w:r>
    </w:p>
    <w:p w:rsidR="002308CB" w:rsidRDefault="007B0681">
      <w:pPr>
        <w:jc w:val="both"/>
        <w:rPr>
          <w:color w:val="000000"/>
        </w:rPr>
      </w:pPr>
      <w:r>
        <w:rPr>
          <w:rFonts w:ascii="Times New Roman" w:eastAsia="Times New Roman" w:hAnsi="Times New Roman" w:cs="Times New Roman"/>
          <w:color w:val="000000"/>
          <w:sz w:val="28"/>
          <w:szCs w:val="28"/>
        </w:rPr>
        <w:t>         На 01.01.2024 общая сумма текущей кредит</w:t>
      </w:r>
      <w:r>
        <w:rPr>
          <w:rFonts w:ascii="Times New Roman" w:eastAsia="Times New Roman" w:hAnsi="Times New Roman" w:cs="Times New Roman"/>
          <w:color w:val="000000"/>
          <w:sz w:val="28"/>
          <w:szCs w:val="28"/>
        </w:rPr>
        <w:t>орской задолженности составила 1251886,97 рублей, в том числе по расчетам по заработной плате в сумме 268106,18 рублей, по расчетам с ОАО «Ростелеком» за услуги связи 7191,05 рублей, по налогу на доходы физических лиц в сумме 38001,00 рублей, по расчетам п</w:t>
      </w:r>
      <w:r>
        <w:rPr>
          <w:rFonts w:ascii="Times New Roman" w:eastAsia="Times New Roman" w:hAnsi="Times New Roman" w:cs="Times New Roman"/>
          <w:color w:val="000000"/>
          <w:sz w:val="28"/>
          <w:szCs w:val="28"/>
        </w:rPr>
        <w:t>о страховым взносам на обязательное социальное страхование от несчастных случаев на производстве и профессиональных заболеваний в сумме 2404,12 рублей. По счету 130305000 "Расчеты по прочим платежам в бюджет" числится задолженность в сумме 575567,21 рублей</w:t>
      </w:r>
      <w:r>
        <w:rPr>
          <w:rFonts w:ascii="Times New Roman" w:eastAsia="Times New Roman" w:hAnsi="Times New Roman" w:cs="Times New Roman"/>
          <w:color w:val="000000"/>
          <w:sz w:val="28"/>
          <w:szCs w:val="28"/>
        </w:rPr>
        <w:t>, в том числе перед Министерством финансов Кировской области по неиспользованному остатку субвенции на возмещение расходов, связанных с предоставлением мер социальной поддержки абз.1 ч.1 ст.15 Закона Кировской области "Об образовании в Кировской области" в</w:t>
      </w:r>
      <w:r>
        <w:rPr>
          <w:rFonts w:ascii="Times New Roman" w:eastAsia="Times New Roman" w:hAnsi="Times New Roman" w:cs="Times New Roman"/>
          <w:color w:val="000000"/>
          <w:sz w:val="28"/>
          <w:szCs w:val="28"/>
        </w:rPr>
        <w:t xml:space="preserve"> сумме 575567,21 рублей. Кредиторская задолженность погашена в январе 2024 года в полном объеме. Остаток начисленного резерва по оплате отпусков на конец отчетного периода составил 385829,74 рублей. Просроченной кредиторской задолженности не имеется. </w:t>
      </w:r>
    </w:p>
    <w:p w:rsidR="002308CB" w:rsidRDefault="007B0681">
      <w:pPr>
        <w:ind w:firstLine="720"/>
        <w:jc w:val="both"/>
        <w:rPr>
          <w:color w:val="000000"/>
        </w:rPr>
      </w:pPr>
      <w:r>
        <w:rPr>
          <w:rFonts w:ascii="Times New Roman" w:eastAsia="Times New Roman" w:hAnsi="Times New Roman" w:cs="Times New Roman"/>
          <w:color w:val="000000"/>
          <w:sz w:val="28"/>
          <w:szCs w:val="28"/>
        </w:rPr>
        <w:t>Деби</w:t>
      </w:r>
      <w:r>
        <w:rPr>
          <w:rFonts w:ascii="Times New Roman" w:eastAsia="Times New Roman" w:hAnsi="Times New Roman" w:cs="Times New Roman"/>
          <w:color w:val="000000"/>
          <w:sz w:val="28"/>
          <w:szCs w:val="28"/>
        </w:rPr>
        <w:t xml:space="preserve">торская задолженность на 01.01.2024 числится в сумме 724,80 рублей, в том числе задолженность за подотчетным лицом за приобретенные маркированные конверты в сумме 160,00 рублей, по расчетам с ОАО «Ростелеком» за услуги интернет 564,80 рублей. </w:t>
      </w:r>
    </w:p>
    <w:p w:rsidR="002308CB" w:rsidRDefault="007B0681">
      <w:pPr>
        <w:jc w:val="both"/>
        <w:rPr>
          <w:color w:val="000000"/>
        </w:rPr>
      </w:pPr>
      <w:r>
        <w:rPr>
          <w:rFonts w:ascii="Times New Roman" w:eastAsia="Times New Roman" w:hAnsi="Times New Roman" w:cs="Times New Roman"/>
          <w:color w:val="000000"/>
          <w:sz w:val="28"/>
          <w:szCs w:val="28"/>
          <w:shd w:val="clear" w:color="auto" w:fill="FFFFFF"/>
        </w:rPr>
        <w:t> </w:t>
      </w:r>
      <w:r>
        <w:rPr>
          <w:rFonts w:ascii="Times New Roman" w:eastAsia="Times New Roman" w:hAnsi="Times New Roman" w:cs="Times New Roman"/>
          <w:color w:val="000000"/>
          <w:sz w:val="28"/>
          <w:szCs w:val="28"/>
        </w:rPr>
        <w:t xml:space="preserve">        Сог</w:t>
      </w:r>
      <w:r>
        <w:rPr>
          <w:rFonts w:ascii="Times New Roman" w:eastAsia="Times New Roman" w:hAnsi="Times New Roman" w:cs="Times New Roman"/>
          <w:color w:val="000000"/>
          <w:sz w:val="28"/>
          <w:szCs w:val="28"/>
        </w:rPr>
        <w:t xml:space="preserve">ласно данных расшифровки долговых обязательств муниципального образования Слободской муниципальный район Кировской области по состоянию на 01.01.2024 года кредитов,  выданных из районного бюджета юридическим лицам, не числится. </w:t>
      </w:r>
    </w:p>
    <w:p w:rsidR="002308CB" w:rsidRDefault="007B0681">
      <w:pPr>
        <w:jc w:val="both"/>
        <w:rPr>
          <w:color w:val="000000"/>
        </w:rPr>
      </w:pPr>
      <w:r>
        <w:rPr>
          <w:rFonts w:ascii="Times New Roman" w:eastAsia="Times New Roman" w:hAnsi="Times New Roman" w:cs="Times New Roman"/>
          <w:color w:val="000000"/>
          <w:sz w:val="28"/>
          <w:szCs w:val="28"/>
        </w:rPr>
        <w:lastRenderedPageBreak/>
        <w:t>         По состоянию на 01</w:t>
      </w:r>
      <w:r>
        <w:rPr>
          <w:rFonts w:ascii="Times New Roman" w:eastAsia="Times New Roman" w:hAnsi="Times New Roman" w:cs="Times New Roman"/>
          <w:color w:val="000000"/>
          <w:sz w:val="28"/>
          <w:szCs w:val="28"/>
        </w:rPr>
        <w:t xml:space="preserve">.01.2024 года муниципальный долг составил 51 900 000 рублей, в том числе по кредиту полученному от кредитной организации Первый акционерный коммерческий дорожно-транспортный банк на сумму 30 950 000 рублей, и бюджетному кредиту полученному от Министерства </w:t>
      </w:r>
      <w:r>
        <w:rPr>
          <w:rFonts w:ascii="Times New Roman" w:eastAsia="Times New Roman" w:hAnsi="Times New Roman" w:cs="Times New Roman"/>
          <w:color w:val="000000"/>
          <w:sz w:val="28"/>
          <w:szCs w:val="28"/>
        </w:rPr>
        <w:t xml:space="preserve">финансов Кировской области на сумму 20950000 рублей. Расходы на обслуживание муниципального долга составили 2236816,74 рублей. </w:t>
      </w:r>
    </w:p>
    <w:p w:rsidR="002308CB" w:rsidRDefault="007B0681">
      <w:pPr>
        <w:jc w:val="both"/>
        <w:rPr>
          <w:color w:val="000000"/>
        </w:rPr>
      </w:pPr>
      <w:r>
        <w:rPr>
          <w:rFonts w:ascii="Times New Roman" w:eastAsia="Times New Roman" w:hAnsi="Times New Roman" w:cs="Times New Roman"/>
          <w:color w:val="000000"/>
          <w:sz w:val="28"/>
          <w:szCs w:val="28"/>
        </w:rPr>
        <w:t>         В ф.0503121 по строке 560 отражены резервы предстоящих расходов в сумме -13848,67 рублей на оплату отпусков.</w:t>
      </w:r>
    </w:p>
    <w:p w:rsidR="002308CB" w:rsidRDefault="007B0681">
      <w:pPr>
        <w:jc w:val="both"/>
        <w:rPr>
          <w:color w:val="000000"/>
        </w:rPr>
      </w:pPr>
      <w:r>
        <w:rPr>
          <w:rFonts w:ascii="Times New Roman" w:eastAsia="Times New Roman" w:hAnsi="Times New Roman" w:cs="Times New Roman"/>
          <w:color w:val="000000"/>
          <w:sz w:val="28"/>
          <w:szCs w:val="28"/>
        </w:rPr>
        <w:t>          В ф.0503173G по строке 251 код причины 05 "Пересчеты показателей отчетности" выделена долгосрочная дебиторская задолженность по МБТ 2025, 2026 годов по счету 120551000 "Расчеты по поступлениям текущего характера от других бюджетов бюджетной систе</w:t>
      </w:r>
      <w:r>
        <w:rPr>
          <w:rFonts w:ascii="Times New Roman" w:eastAsia="Times New Roman" w:hAnsi="Times New Roman" w:cs="Times New Roman"/>
          <w:color w:val="000000"/>
          <w:sz w:val="28"/>
          <w:szCs w:val="28"/>
        </w:rPr>
        <w:t xml:space="preserve">мы Российской Федерации" в сумме 385879000,00 рублей. </w:t>
      </w:r>
    </w:p>
    <w:p w:rsidR="002308CB" w:rsidRDefault="007B0681">
      <w:pPr>
        <w:jc w:val="both"/>
        <w:rPr>
          <w:color w:val="000000"/>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 </w:t>
      </w:r>
    </w:p>
    <w:p w:rsidR="002308CB" w:rsidRDefault="007B0681">
      <w:pPr>
        <w:jc w:val="center"/>
        <w:rPr>
          <w:color w:val="000000"/>
        </w:rPr>
      </w:pPr>
      <w:r>
        <w:rPr>
          <w:rFonts w:ascii="Times New Roman" w:eastAsia="Times New Roman" w:hAnsi="Times New Roman" w:cs="Times New Roman"/>
          <w:b/>
          <w:color w:val="000000"/>
          <w:sz w:val="28"/>
          <w:szCs w:val="28"/>
        </w:rPr>
        <w:t> </w:t>
      </w:r>
    </w:p>
    <w:p w:rsidR="002308CB" w:rsidRDefault="007B0681">
      <w:pPr>
        <w:jc w:val="center"/>
        <w:rPr>
          <w:color w:val="000000"/>
        </w:rPr>
      </w:pPr>
      <w:r>
        <w:rPr>
          <w:rFonts w:ascii="Times New Roman" w:eastAsia="Times New Roman" w:hAnsi="Times New Roman" w:cs="Times New Roman"/>
          <w:b/>
          <w:color w:val="000000"/>
          <w:sz w:val="28"/>
          <w:szCs w:val="28"/>
        </w:rPr>
        <w:t>Раздел 5 «Прочие вопросы деятельности финансового управления Слободского района»</w:t>
      </w:r>
    </w:p>
    <w:p w:rsidR="002308CB" w:rsidRDefault="007B0681">
      <w:pPr>
        <w:rPr>
          <w:color w:val="000000"/>
        </w:rPr>
      </w:pPr>
      <w:r>
        <w:rPr>
          <w:rFonts w:ascii="Times New Roman" w:eastAsia="Times New Roman" w:hAnsi="Times New Roman" w:cs="Times New Roman"/>
          <w:color w:val="000000"/>
          <w:sz w:val="28"/>
          <w:szCs w:val="28"/>
        </w:rPr>
        <w:t>                </w:t>
      </w:r>
    </w:p>
    <w:p w:rsidR="002308CB" w:rsidRDefault="007B0681">
      <w:pPr>
        <w:spacing w:after="120"/>
        <w:jc w:val="both"/>
        <w:rPr>
          <w:color w:val="000000"/>
        </w:rPr>
      </w:pPr>
      <w:r>
        <w:rPr>
          <w:rFonts w:ascii="Times New Roman" w:eastAsia="Times New Roman" w:hAnsi="Times New Roman" w:cs="Times New Roman"/>
          <w:color w:val="000000"/>
          <w:sz w:val="28"/>
          <w:szCs w:val="28"/>
        </w:rPr>
        <w:t>     В 2023 проводились следующие мероприятия по организации бюджетного учета в учреждениях:</w:t>
      </w:r>
    </w:p>
    <w:p w:rsidR="002308CB" w:rsidRDefault="007B0681">
      <w:pPr>
        <w:spacing w:after="120"/>
        <w:jc w:val="both"/>
        <w:rPr>
          <w:color w:val="000000"/>
        </w:rPr>
      </w:pPr>
      <w:r>
        <w:rPr>
          <w:rFonts w:ascii="Times New Roman" w:eastAsia="Times New Roman" w:hAnsi="Times New Roman" w:cs="Times New Roman"/>
          <w:color w:val="000000"/>
          <w:sz w:val="28"/>
          <w:szCs w:val="28"/>
        </w:rPr>
        <w:t> 1. Ф</w:t>
      </w:r>
      <w:r>
        <w:rPr>
          <w:rFonts w:ascii="Times New Roman" w:eastAsia="Times New Roman" w:hAnsi="Times New Roman" w:cs="Times New Roman"/>
          <w:color w:val="000000"/>
          <w:sz w:val="28"/>
          <w:szCs w:val="28"/>
        </w:rPr>
        <w:t>инансовым управлением проводились совещания и тематические семинары с главными распорядителями бюджетных средств районного бюджета, главными бухгалтерами сельских (городского) поселений и главными бухгалтерами подведомственных учреждений, направлялись инфо</w:t>
      </w:r>
      <w:r>
        <w:rPr>
          <w:rFonts w:ascii="Times New Roman" w:eastAsia="Times New Roman" w:hAnsi="Times New Roman" w:cs="Times New Roman"/>
          <w:color w:val="000000"/>
          <w:sz w:val="28"/>
          <w:szCs w:val="28"/>
        </w:rPr>
        <w:t>рмационные письма в муниципальные образования. В 2023 году проведен один семинар-совещание.</w:t>
      </w:r>
    </w:p>
    <w:p w:rsidR="002308CB" w:rsidRDefault="007B0681">
      <w:pPr>
        <w:spacing w:after="120"/>
        <w:jc w:val="both"/>
        <w:rPr>
          <w:color w:val="000000"/>
        </w:rPr>
      </w:pPr>
      <w:r>
        <w:rPr>
          <w:rFonts w:ascii="Times New Roman" w:eastAsia="Times New Roman" w:hAnsi="Times New Roman" w:cs="Times New Roman"/>
          <w:color w:val="000000"/>
          <w:sz w:val="28"/>
          <w:szCs w:val="28"/>
        </w:rPr>
        <w:t>2. Приняли участие в работе семинаров и видеоконференций, организованных Министерством финансов Кировской области 7 специалистов-финансистов.</w:t>
      </w:r>
    </w:p>
    <w:p w:rsidR="002308CB" w:rsidRDefault="007B0681">
      <w:pPr>
        <w:jc w:val="both"/>
        <w:rPr>
          <w:color w:val="000000"/>
        </w:rPr>
      </w:pPr>
      <w:r>
        <w:rPr>
          <w:rFonts w:ascii="Times New Roman" w:eastAsia="Times New Roman" w:hAnsi="Times New Roman" w:cs="Times New Roman"/>
          <w:color w:val="000000"/>
          <w:sz w:val="28"/>
          <w:szCs w:val="28"/>
        </w:rPr>
        <w:t>      Перед составлени</w:t>
      </w:r>
      <w:r>
        <w:rPr>
          <w:rFonts w:ascii="Times New Roman" w:eastAsia="Times New Roman" w:hAnsi="Times New Roman" w:cs="Times New Roman"/>
          <w:color w:val="000000"/>
          <w:sz w:val="28"/>
          <w:szCs w:val="28"/>
        </w:rPr>
        <w:t>ем годовой бухгалтерской отчетности на 01.01.2024 года проведена инвентаризация  активов и обязательств на основании приказа руководителя учреждения от 29.09.2023 № 62. Расхождений по результатам проведения инвентаризации нет.</w:t>
      </w:r>
    </w:p>
    <w:p w:rsidR="002308CB" w:rsidRDefault="007B0681">
      <w:pPr>
        <w:jc w:val="both"/>
        <w:rPr>
          <w:color w:val="000000"/>
        </w:rPr>
      </w:pPr>
      <w:r>
        <w:rPr>
          <w:rFonts w:ascii="Times New Roman" w:eastAsia="Times New Roman" w:hAnsi="Times New Roman" w:cs="Times New Roman"/>
          <w:color w:val="000000"/>
          <w:sz w:val="28"/>
          <w:szCs w:val="28"/>
        </w:rPr>
        <w:t xml:space="preserve">       В связи с отсутствием </w:t>
      </w:r>
      <w:r>
        <w:rPr>
          <w:rFonts w:ascii="Times New Roman" w:eastAsia="Times New Roman" w:hAnsi="Times New Roman" w:cs="Times New Roman"/>
          <w:color w:val="000000"/>
          <w:sz w:val="28"/>
          <w:szCs w:val="28"/>
        </w:rPr>
        <w:t>числовых показателей в составе бюджетной отчетности за 2023 год не представлены:</w:t>
      </w:r>
    </w:p>
    <w:p w:rsidR="002308CB" w:rsidRDefault="007B0681">
      <w:pPr>
        <w:jc w:val="both"/>
        <w:rPr>
          <w:color w:val="000000"/>
        </w:rPr>
      </w:pPr>
      <w:r>
        <w:rPr>
          <w:rFonts w:ascii="Times New Roman" w:eastAsia="Times New Roman" w:hAnsi="Times New Roman" w:cs="Times New Roman"/>
          <w:color w:val="000000"/>
          <w:sz w:val="28"/>
          <w:szCs w:val="28"/>
        </w:rPr>
        <w:t>- Справка по консолидируемым расчетам (ф.0503125 по счетам 140110191, 140110189, 140149161, 120561000, 120561561, 120561661, 120651000, 130406000, 140110161);</w:t>
      </w:r>
    </w:p>
    <w:p w:rsidR="002308CB" w:rsidRDefault="007B0681">
      <w:pPr>
        <w:jc w:val="both"/>
        <w:rPr>
          <w:color w:val="000000"/>
        </w:rPr>
      </w:pPr>
      <w:r>
        <w:rPr>
          <w:rFonts w:ascii="Times New Roman" w:eastAsia="Times New Roman" w:hAnsi="Times New Roman" w:cs="Times New Roman"/>
          <w:color w:val="000000"/>
          <w:sz w:val="28"/>
          <w:szCs w:val="28"/>
        </w:rPr>
        <w:t>- Сведения о про</w:t>
      </w:r>
      <w:r>
        <w:rPr>
          <w:rFonts w:ascii="Times New Roman" w:eastAsia="Times New Roman" w:hAnsi="Times New Roman" w:cs="Times New Roman"/>
          <w:color w:val="000000"/>
          <w:sz w:val="28"/>
          <w:szCs w:val="28"/>
        </w:rPr>
        <w:t>ведении инвентаризаций (таблица № 6);</w:t>
      </w:r>
    </w:p>
    <w:p w:rsidR="002308CB" w:rsidRDefault="007B0681">
      <w:pPr>
        <w:jc w:val="both"/>
        <w:rPr>
          <w:color w:val="000000"/>
        </w:rPr>
      </w:pPr>
      <w:r>
        <w:rPr>
          <w:rFonts w:ascii="Times New Roman" w:eastAsia="Times New Roman" w:hAnsi="Times New Roman" w:cs="Times New Roman"/>
          <w:color w:val="000000"/>
          <w:sz w:val="28"/>
          <w:szCs w:val="28"/>
        </w:rPr>
        <w:t>- Сведения о финансовых вложениях получателя бюджетных средств, администратора источников финансирования дефицита бюджета (ф.0503171);</w:t>
      </w:r>
    </w:p>
    <w:p w:rsidR="002308CB" w:rsidRDefault="007B0681">
      <w:pPr>
        <w:jc w:val="both"/>
        <w:rPr>
          <w:color w:val="000000"/>
        </w:rPr>
      </w:pPr>
      <w:r>
        <w:rPr>
          <w:rFonts w:ascii="Times New Roman" w:eastAsia="Times New Roman" w:hAnsi="Times New Roman" w:cs="Times New Roman"/>
          <w:color w:val="000000"/>
          <w:sz w:val="28"/>
          <w:szCs w:val="28"/>
        </w:rPr>
        <w:lastRenderedPageBreak/>
        <w:t>- Сведения об изменении остатков валюты баланса (бюджетная деятельность) (ф.0503173</w:t>
      </w:r>
      <w:r>
        <w:rPr>
          <w:rFonts w:ascii="Times New Roman" w:eastAsia="Times New Roman" w:hAnsi="Times New Roman" w:cs="Times New Roman"/>
          <w:color w:val="000000"/>
          <w:sz w:val="28"/>
          <w:szCs w:val="28"/>
        </w:rPr>
        <w:t>);</w:t>
      </w:r>
    </w:p>
    <w:p w:rsidR="002308CB" w:rsidRDefault="007B0681">
      <w:pPr>
        <w:jc w:val="both"/>
        <w:rPr>
          <w:color w:val="000000"/>
        </w:rPr>
      </w:pPr>
      <w:r>
        <w:rPr>
          <w:rFonts w:ascii="Times New Roman" w:eastAsia="Times New Roman" w:hAnsi="Times New Roman" w:cs="Times New Roman"/>
          <w:color w:val="000000"/>
          <w:sz w:val="28"/>
          <w:szCs w:val="28"/>
        </w:rPr>
        <w:t>- Сведения о доходах бюджета от перечисления части прибыли (</w:t>
      </w:r>
      <w:proofErr w:type="spellStart"/>
      <w:r>
        <w:rPr>
          <w:rFonts w:ascii="Times New Roman" w:eastAsia="Times New Roman" w:hAnsi="Times New Roman" w:cs="Times New Roman"/>
          <w:color w:val="000000"/>
          <w:sz w:val="28"/>
          <w:szCs w:val="28"/>
        </w:rPr>
        <w:t>дивидентов</w:t>
      </w:r>
      <w:proofErr w:type="spellEnd"/>
      <w:r>
        <w:rPr>
          <w:rFonts w:ascii="Times New Roman" w:eastAsia="Times New Roman" w:hAnsi="Times New Roman" w:cs="Times New Roman"/>
          <w:color w:val="000000"/>
          <w:sz w:val="28"/>
          <w:szCs w:val="28"/>
        </w:rPr>
        <w:t>) государственных (муниципальных) унитарных предприятий, иных организаций с государственным участием в капитале (ф.0503174);</w:t>
      </w:r>
    </w:p>
    <w:p w:rsidR="002308CB" w:rsidRDefault="007B0681">
      <w:pPr>
        <w:jc w:val="both"/>
        <w:rPr>
          <w:color w:val="000000"/>
        </w:rPr>
      </w:pPr>
      <w:r>
        <w:rPr>
          <w:rFonts w:ascii="Times New Roman" w:eastAsia="Times New Roman" w:hAnsi="Times New Roman" w:cs="Times New Roman"/>
          <w:color w:val="000000"/>
          <w:sz w:val="28"/>
          <w:szCs w:val="28"/>
        </w:rPr>
        <w:t>- Сведения о принятых и неисполненных обязательствах получ</w:t>
      </w:r>
      <w:r>
        <w:rPr>
          <w:rFonts w:ascii="Times New Roman" w:eastAsia="Times New Roman" w:hAnsi="Times New Roman" w:cs="Times New Roman"/>
          <w:color w:val="000000"/>
          <w:sz w:val="28"/>
          <w:szCs w:val="28"/>
        </w:rPr>
        <w:t>ателя бюджетных средств (ф.0503175);</w:t>
      </w:r>
    </w:p>
    <w:p w:rsidR="002308CB" w:rsidRDefault="007B0681">
      <w:pPr>
        <w:jc w:val="both"/>
        <w:rPr>
          <w:color w:val="000000"/>
        </w:rPr>
      </w:pPr>
      <w:r>
        <w:rPr>
          <w:rFonts w:ascii="Times New Roman" w:eastAsia="Times New Roman" w:hAnsi="Times New Roman" w:cs="Times New Roman"/>
          <w:color w:val="000000"/>
          <w:sz w:val="28"/>
          <w:szCs w:val="28"/>
        </w:rPr>
        <w:t>- Сведения об остатках денежных средств на счетах получателя бюджетных средства (бюджетная) (ф.0503178);</w:t>
      </w:r>
    </w:p>
    <w:p w:rsidR="002308CB" w:rsidRDefault="007B0681">
      <w:pPr>
        <w:jc w:val="both"/>
        <w:rPr>
          <w:color w:val="000000"/>
        </w:rPr>
      </w:pPr>
      <w:r>
        <w:rPr>
          <w:rFonts w:ascii="Times New Roman" w:eastAsia="Times New Roman" w:hAnsi="Times New Roman" w:cs="Times New Roman"/>
          <w:color w:val="000000"/>
          <w:sz w:val="28"/>
          <w:szCs w:val="28"/>
        </w:rPr>
        <w:t>- Сведения о вложениях в объекты недвижимого имущества, объектах незавершенного строительства (ф.0503190);</w:t>
      </w:r>
    </w:p>
    <w:p w:rsidR="002308CB" w:rsidRDefault="007B0681">
      <w:pPr>
        <w:jc w:val="both"/>
        <w:rPr>
          <w:color w:val="000000"/>
        </w:rPr>
      </w:pPr>
      <w:r>
        <w:rPr>
          <w:rFonts w:ascii="Times New Roman" w:eastAsia="Times New Roman" w:hAnsi="Times New Roman" w:cs="Times New Roman"/>
          <w:color w:val="000000"/>
          <w:sz w:val="28"/>
          <w:szCs w:val="28"/>
        </w:rPr>
        <w:t>- сведе</w:t>
      </w:r>
      <w:r>
        <w:rPr>
          <w:rFonts w:ascii="Times New Roman" w:eastAsia="Times New Roman" w:hAnsi="Times New Roman" w:cs="Times New Roman"/>
          <w:color w:val="000000"/>
          <w:sz w:val="28"/>
          <w:szCs w:val="28"/>
        </w:rPr>
        <w:t>ния об исполнении судебных решений по денежным обязательствам бюджета (ф.0503296).</w:t>
      </w:r>
    </w:p>
    <w:p w:rsidR="002308CB" w:rsidRDefault="007B0681">
      <w:pPr>
        <w:jc w:val="both"/>
        <w:rPr>
          <w:color w:val="000000"/>
        </w:rPr>
      </w:pPr>
      <w:r>
        <w:rPr>
          <w:rFonts w:ascii="Times New Roman" w:eastAsia="Times New Roman" w:hAnsi="Times New Roman" w:cs="Times New Roman"/>
          <w:color w:val="000000"/>
          <w:sz w:val="28"/>
          <w:szCs w:val="28"/>
        </w:rPr>
        <w:t>  </w:t>
      </w:r>
    </w:p>
    <w:p w:rsidR="002308CB" w:rsidRDefault="007B0681">
      <w:pPr>
        <w:jc w:val="both"/>
        <w:rPr>
          <w:color w:val="000000"/>
        </w:rPr>
      </w:pPr>
      <w:r>
        <w:rPr>
          <w:rFonts w:ascii="Times New Roman" w:eastAsia="Times New Roman" w:hAnsi="Times New Roman" w:cs="Times New Roman"/>
          <w:color w:val="000000"/>
          <w:sz w:val="28"/>
          <w:szCs w:val="28"/>
        </w:rPr>
        <w:t> </w:t>
      </w:r>
    </w:p>
    <w:p w:rsidR="002308CB" w:rsidRDefault="007B0681">
      <w:pPr>
        <w:rPr>
          <w:color w:val="000000"/>
        </w:rPr>
      </w:pPr>
      <w:r>
        <w:rPr>
          <w:rFonts w:ascii="Calibri" w:eastAsia="Calibri" w:hAnsi="Calibri" w:cs="Calibri"/>
          <w:color w:val="000000"/>
        </w:rPr>
        <w:t> </w:t>
      </w:r>
    </w:p>
    <w:p w:rsidR="002308CB" w:rsidRDefault="007B0681">
      <w:pPr>
        <w:rPr>
          <w:color w:val="000000"/>
        </w:rPr>
      </w:pPr>
      <w:r>
        <w:rPr>
          <w:rFonts w:ascii="Calibri" w:eastAsia="Calibri" w:hAnsi="Calibri" w:cs="Calibri"/>
          <w:color w:val="000000"/>
        </w:rPr>
        <w:t> </w:t>
      </w:r>
    </w:p>
    <w:p w:rsidR="002308CB" w:rsidRDefault="007B0681">
      <w:r>
        <w:t> </w:t>
      </w:r>
    </w:p>
    <w:p w:rsidR="002308CB" w:rsidRDefault="007B0681">
      <w:pPr>
        <w:rPr>
          <w:rFonts w:ascii="Times New Roman" w:eastAsia="Times New Roman" w:hAnsi="Times New Roman" w:cs="Times New Roman"/>
          <w:sz w:val="24"/>
        </w:rPr>
      </w:pPr>
      <w:r>
        <w:rPr>
          <w:rFonts w:ascii="Times New Roman" w:eastAsia="Times New Roman" w:hAnsi="Times New Roman" w:cs="Times New Roman"/>
          <w:sz w:val="24"/>
          <w:szCs w:val="24"/>
        </w:rPr>
        <w:t> </w:t>
      </w:r>
    </w:p>
    <w:tbl>
      <w:tblPr>
        <w:tblW w:w="9380" w:type="dxa"/>
        <w:tblInd w:w="96" w:type="dxa"/>
        <w:tblBorders>
          <w:top w:val="nil"/>
          <w:left w:val="nil"/>
          <w:bottom w:val="nil"/>
          <w:right w:val="nil"/>
        </w:tblBorders>
        <w:tblCellMar>
          <w:left w:w="0" w:type="dxa"/>
          <w:right w:w="0" w:type="dxa"/>
        </w:tblCellMar>
        <w:tblLook w:val="04A0" w:firstRow="1" w:lastRow="0" w:firstColumn="1" w:lastColumn="0" w:noHBand="0" w:noVBand="1"/>
      </w:tblPr>
      <w:tblGrid>
        <w:gridCol w:w="3570"/>
        <w:gridCol w:w="2040"/>
        <w:gridCol w:w="3770"/>
      </w:tblGrid>
      <w:tr w:rsidR="002308CB">
        <w:tc>
          <w:tcPr>
            <w:tcW w:w="3570" w:type="dxa"/>
            <w:tcMar>
              <w:top w:w="0" w:type="dxa"/>
              <w:left w:w="108" w:type="dxa"/>
              <w:bottom w:w="0" w:type="dxa"/>
              <w:right w:w="108" w:type="dxa"/>
            </w:tcMar>
            <w:vAlign w:val="center"/>
            <w:hideMark/>
          </w:tcPr>
          <w:p w:rsidR="002308CB" w:rsidRDefault="007B0681">
            <w:pPr>
              <w:rPr>
                <w:rFonts w:ascii="Times New Roman" w:eastAsia="Times New Roman" w:hAnsi="Times New Roman" w:cs="Times New Roman"/>
                <w:sz w:val="24"/>
              </w:rPr>
            </w:pPr>
            <w:r>
              <w:rPr>
                <w:rFonts w:ascii="Times New Roman" w:eastAsia="Times New Roman" w:hAnsi="Times New Roman" w:cs="Times New Roman"/>
                <w:sz w:val="20"/>
                <w:szCs w:val="20"/>
              </w:rPr>
              <w:t>Руководитель</w:t>
            </w:r>
          </w:p>
        </w:tc>
        <w:tc>
          <w:tcPr>
            <w:tcW w:w="2040" w:type="dxa"/>
            <w:tcMar>
              <w:top w:w="0" w:type="dxa"/>
              <w:left w:w="108" w:type="dxa"/>
              <w:bottom w:w="0" w:type="dxa"/>
              <w:right w:w="108" w:type="dxa"/>
            </w:tcMar>
            <w:vAlign w:val="center"/>
            <w:hideMark/>
          </w:tcPr>
          <w:p w:rsidR="002308CB" w:rsidRDefault="002308CB"/>
        </w:tc>
        <w:tc>
          <w:tcPr>
            <w:tcW w:w="0" w:type="auto"/>
            <w:tcMar>
              <w:top w:w="0" w:type="dxa"/>
              <w:left w:w="108" w:type="dxa"/>
              <w:bottom w:w="0" w:type="dxa"/>
              <w:right w:w="108" w:type="dxa"/>
            </w:tcMar>
            <w:vAlign w:val="center"/>
            <w:hideMark/>
          </w:tcPr>
          <w:p w:rsidR="002308CB" w:rsidRDefault="007B0681">
            <w:pPr>
              <w:jc w:val="center"/>
              <w:rPr>
                <w:rFonts w:ascii="Times New Roman" w:eastAsia="Times New Roman" w:hAnsi="Times New Roman" w:cs="Times New Roman"/>
                <w:sz w:val="24"/>
              </w:rPr>
            </w:pPr>
            <w:r>
              <w:rPr>
                <w:rFonts w:ascii="Times New Roman" w:eastAsia="Times New Roman" w:hAnsi="Times New Roman" w:cs="Times New Roman"/>
                <w:sz w:val="20"/>
                <w:szCs w:val="20"/>
                <w:u w:val="single"/>
              </w:rPr>
              <w:t>Зорина И.Н.</w:t>
            </w:r>
          </w:p>
        </w:tc>
      </w:tr>
      <w:tr w:rsidR="002308CB">
        <w:trPr>
          <w:trHeight w:val="280"/>
        </w:trPr>
        <w:tc>
          <w:tcPr>
            <w:tcW w:w="3570" w:type="dxa"/>
            <w:noWrap/>
            <w:tcMar>
              <w:top w:w="0" w:type="dxa"/>
              <w:left w:w="108" w:type="dxa"/>
              <w:bottom w:w="0" w:type="dxa"/>
              <w:right w:w="108" w:type="dxa"/>
            </w:tcMar>
            <w:vAlign w:val="bottom"/>
            <w:hideMark/>
          </w:tcPr>
          <w:p w:rsidR="002308CB" w:rsidRDefault="002308CB">
            <w:pPr>
              <w:rPr>
                <w:sz w:val="24"/>
              </w:rPr>
            </w:pPr>
          </w:p>
        </w:tc>
        <w:tc>
          <w:tcPr>
            <w:tcW w:w="2040" w:type="dxa"/>
            <w:tcMar>
              <w:top w:w="0" w:type="dxa"/>
              <w:left w:w="108" w:type="dxa"/>
              <w:bottom w:w="0" w:type="dxa"/>
              <w:right w:w="108" w:type="dxa"/>
            </w:tcMar>
            <w:vAlign w:val="center"/>
            <w:hideMark/>
          </w:tcPr>
          <w:p w:rsidR="002308CB" w:rsidRDefault="007B0681">
            <w:pPr>
              <w:jc w:val="center"/>
              <w:rPr>
                <w:rFonts w:ascii="Times New Roman" w:eastAsia="Times New Roman" w:hAnsi="Times New Roman" w:cs="Times New Roman"/>
                <w:sz w:val="24"/>
              </w:rPr>
            </w:pPr>
            <w:r>
              <w:rPr>
                <w:rFonts w:ascii="Times New Roman" w:eastAsia="Times New Roman" w:hAnsi="Times New Roman" w:cs="Times New Roman"/>
                <w:sz w:val="20"/>
                <w:szCs w:val="20"/>
              </w:rPr>
              <w:t>(подпись)</w:t>
            </w:r>
          </w:p>
        </w:tc>
        <w:tc>
          <w:tcPr>
            <w:tcW w:w="0" w:type="auto"/>
            <w:tcMar>
              <w:top w:w="0" w:type="dxa"/>
              <w:left w:w="108" w:type="dxa"/>
              <w:bottom w:w="0" w:type="dxa"/>
              <w:right w:w="108" w:type="dxa"/>
            </w:tcMar>
            <w:vAlign w:val="center"/>
            <w:hideMark/>
          </w:tcPr>
          <w:p w:rsidR="002308CB" w:rsidRDefault="007B0681">
            <w:pPr>
              <w:jc w:val="center"/>
              <w:rPr>
                <w:rFonts w:ascii="Times New Roman" w:eastAsia="Times New Roman" w:hAnsi="Times New Roman" w:cs="Times New Roman"/>
                <w:sz w:val="24"/>
              </w:rPr>
            </w:pPr>
            <w:r>
              <w:rPr>
                <w:rFonts w:ascii="Times New Roman" w:eastAsia="Times New Roman" w:hAnsi="Times New Roman" w:cs="Times New Roman"/>
                <w:sz w:val="20"/>
                <w:szCs w:val="20"/>
              </w:rPr>
              <w:t>(расшифровка подписи)</w:t>
            </w:r>
          </w:p>
        </w:tc>
      </w:tr>
      <w:tr w:rsidR="002308CB">
        <w:trPr>
          <w:trHeight w:val="281"/>
        </w:trPr>
        <w:tc>
          <w:tcPr>
            <w:tcW w:w="0" w:type="auto"/>
            <w:gridSpan w:val="3"/>
            <w:noWrap/>
            <w:tcMar>
              <w:top w:w="0" w:type="dxa"/>
              <w:left w:w="108" w:type="dxa"/>
              <w:bottom w:w="0" w:type="dxa"/>
              <w:right w:w="108" w:type="dxa"/>
            </w:tcMar>
            <w:vAlign w:val="bottom"/>
            <w:hideMark/>
          </w:tcPr>
          <w:p w:rsidR="002308CB" w:rsidRDefault="007B0681">
            <w:pPr>
              <w:rPr>
                <w:rFonts w:ascii="Times New Roman" w:eastAsia="Times New Roman" w:hAnsi="Times New Roman" w:cs="Times New Roman"/>
                <w:sz w:val="24"/>
              </w:rPr>
            </w:pPr>
            <w:r>
              <w:rPr>
                <w:rFonts w:ascii="Times New Roman" w:eastAsia="Times New Roman" w:hAnsi="Times New Roman" w:cs="Times New Roman"/>
                <w:sz w:val="20"/>
                <w:szCs w:val="20"/>
              </w:rPr>
              <w:t> </w:t>
            </w:r>
          </w:p>
        </w:tc>
      </w:tr>
      <w:tr w:rsidR="002308CB">
        <w:trPr>
          <w:trHeight w:val="281"/>
        </w:trPr>
        <w:tc>
          <w:tcPr>
            <w:tcW w:w="3570" w:type="dxa"/>
            <w:tcMar>
              <w:top w:w="0" w:type="dxa"/>
              <w:left w:w="108" w:type="dxa"/>
              <w:bottom w:w="0" w:type="dxa"/>
              <w:right w:w="108" w:type="dxa"/>
            </w:tcMar>
            <w:vAlign w:val="center"/>
            <w:hideMark/>
          </w:tcPr>
          <w:p w:rsidR="002308CB" w:rsidRDefault="007B0681">
            <w:pPr>
              <w:rPr>
                <w:rFonts w:ascii="Times New Roman" w:eastAsia="Times New Roman" w:hAnsi="Times New Roman" w:cs="Times New Roman"/>
                <w:sz w:val="24"/>
              </w:rPr>
            </w:pPr>
            <w:r>
              <w:rPr>
                <w:rFonts w:ascii="Times New Roman" w:eastAsia="Times New Roman" w:hAnsi="Times New Roman" w:cs="Times New Roman"/>
                <w:sz w:val="20"/>
                <w:szCs w:val="20"/>
              </w:rPr>
              <w:t>Руководитель планово-</w:t>
            </w:r>
          </w:p>
        </w:tc>
        <w:tc>
          <w:tcPr>
            <w:tcW w:w="2040" w:type="dxa"/>
            <w:tcMar>
              <w:top w:w="0" w:type="dxa"/>
              <w:left w:w="108" w:type="dxa"/>
              <w:bottom w:w="0" w:type="dxa"/>
              <w:right w:w="108" w:type="dxa"/>
            </w:tcMar>
            <w:vAlign w:val="center"/>
            <w:hideMark/>
          </w:tcPr>
          <w:p w:rsidR="002308CB" w:rsidRDefault="002308CB">
            <w:pPr>
              <w:rPr>
                <w:sz w:val="24"/>
              </w:rPr>
            </w:pPr>
          </w:p>
        </w:tc>
        <w:tc>
          <w:tcPr>
            <w:tcW w:w="0" w:type="auto"/>
            <w:tcMar>
              <w:top w:w="0" w:type="dxa"/>
              <w:left w:w="108" w:type="dxa"/>
              <w:bottom w:w="0" w:type="dxa"/>
              <w:right w:w="108" w:type="dxa"/>
            </w:tcMar>
            <w:vAlign w:val="center"/>
            <w:hideMark/>
          </w:tcPr>
          <w:p w:rsidR="002308CB" w:rsidRDefault="002308CB">
            <w:pPr>
              <w:rPr>
                <w:sz w:val="24"/>
              </w:rPr>
            </w:pPr>
          </w:p>
        </w:tc>
      </w:tr>
      <w:tr w:rsidR="002308CB">
        <w:trPr>
          <w:trHeight w:val="281"/>
        </w:trPr>
        <w:tc>
          <w:tcPr>
            <w:tcW w:w="3570" w:type="dxa"/>
            <w:tcMar>
              <w:top w:w="0" w:type="dxa"/>
              <w:left w:w="108" w:type="dxa"/>
              <w:bottom w:w="0" w:type="dxa"/>
              <w:right w:w="108" w:type="dxa"/>
            </w:tcMar>
            <w:vAlign w:val="center"/>
            <w:hideMark/>
          </w:tcPr>
          <w:p w:rsidR="002308CB" w:rsidRDefault="007B0681">
            <w:pPr>
              <w:rPr>
                <w:rFonts w:ascii="Times New Roman" w:eastAsia="Times New Roman" w:hAnsi="Times New Roman" w:cs="Times New Roman"/>
                <w:sz w:val="24"/>
              </w:rPr>
            </w:pPr>
            <w:r>
              <w:rPr>
                <w:rFonts w:ascii="Times New Roman" w:eastAsia="Times New Roman" w:hAnsi="Times New Roman" w:cs="Times New Roman"/>
                <w:sz w:val="20"/>
                <w:szCs w:val="20"/>
              </w:rPr>
              <w:t>экономической службы</w:t>
            </w:r>
          </w:p>
        </w:tc>
        <w:tc>
          <w:tcPr>
            <w:tcW w:w="2040" w:type="dxa"/>
            <w:tcMar>
              <w:top w:w="0" w:type="dxa"/>
              <w:left w:w="108" w:type="dxa"/>
              <w:bottom w:w="0" w:type="dxa"/>
              <w:right w:w="108" w:type="dxa"/>
            </w:tcMar>
            <w:vAlign w:val="center"/>
            <w:hideMark/>
          </w:tcPr>
          <w:p w:rsidR="002308CB" w:rsidRDefault="007B0681">
            <w:pPr>
              <w:jc w:val="center"/>
              <w:rPr>
                <w:rFonts w:ascii="Times New Roman" w:eastAsia="Times New Roman" w:hAnsi="Times New Roman" w:cs="Times New Roman"/>
                <w:sz w:val="24"/>
              </w:rPr>
            </w:pPr>
            <w:r>
              <w:rPr>
                <w:rFonts w:ascii="Times New Roman" w:eastAsia="Times New Roman" w:hAnsi="Times New Roman" w:cs="Times New Roman"/>
                <w:sz w:val="20"/>
                <w:szCs w:val="20"/>
              </w:rPr>
              <w:t>(подпись)</w:t>
            </w:r>
          </w:p>
        </w:tc>
        <w:tc>
          <w:tcPr>
            <w:tcW w:w="0" w:type="auto"/>
            <w:tcMar>
              <w:top w:w="0" w:type="dxa"/>
              <w:left w:w="108" w:type="dxa"/>
              <w:bottom w:w="0" w:type="dxa"/>
              <w:right w:w="108" w:type="dxa"/>
            </w:tcMar>
            <w:vAlign w:val="center"/>
            <w:hideMark/>
          </w:tcPr>
          <w:p w:rsidR="002308CB" w:rsidRDefault="007B0681">
            <w:pPr>
              <w:jc w:val="center"/>
              <w:rPr>
                <w:rFonts w:ascii="Times New Roman" w:eastAsia="Times New Roman" w:hAnsi="Times New Roman" w:cs="Times New Roman"/>
                <w:sz w:val="24"/>
              </w:rPr>
            </w:pPr>
            <w:r>
              <w:rPr>
                <w:rFonts w:ascii="Times New Roman" w:eastAsia="Times New Roman" w:hAnsi="Times New Roman" w:cs="Times New Roman"/>
                <w:sz w:val="20"/>
                <w:szCs w:val="20"/>
              </w:rPr>
              <w:t>(расшифровка подписи)</w:t>
            </w:r>
          </w:p>
        </w:tc>
      </w:tr>
      <w:tr w:rsidR="002308CB">
        <w:trPr>
          <w:trHeight w:val="281"/>
        </w:trPr>
        <w:tc>
          <w:tcPr>
            <w:tcW w:w="0" w:type="auto"/>
            <w:gridSpan w:val="3"/>
            <w:noWrap/>
            <w:tcMar>
              <w:top w:w="0" w:type="dxa"/>
              <w:left w:w="108" w:type="dxa"/>
              <w:bottom w:w="0" w:type="dxa"/>
              <w:right w:w="108" w:type="dxa"/>
            </w:tcMar>
            <w:vAlign w:val="bottom"/>
            <w:hideMark/>
          </w:tcPr>
          <w:p w:rsidR="002308CB" w:rsidRDefault="002308CB">
            <w:pPr>
              <w:rPr>
                <w:sz w:val="24"/>
              </w:rPr>
            </w:pPr>
          </w:p>
        </w:tc>
      </w:tr>
      <w:tr w:rsidR="002308CB">
        <w:trPr>
          <w:trHeight w:val="281"/>
        </w:trPr>
        <w:tc>
          <w:tcPr>
            <w:tcW w:w="3570" w:type="dxa"/>
            <w:tcMar>
              <w:top w:w="0" w:type="dxa"/>
              <w:left w:w="108" w:type="dxa"/>
              <w:bottom w:w="0" w:type="dxa"/>
              <w:right w:w="108" w:type="dxa"/>
            </w:tcMar>
            <w:vAlign w:val="center"/>
            <w:hideMark/>
          </w:tcPr>
          <w:p w:rsidR="002308CB" w:rsidRDefault="007B0681">
            <w:pPr>
              <w:rPr>
                <w:rFonts w:ascii="Times New Roman" w:eastAsia="Times New Roman" w:hAnsi="Times New Roman" w:cs="Times New Roman"/>
                <w:sz w:val="24"/>
              </w:rPr>
            </w:pPr>
            <w:r>
              <w:rPr>
                <w:rFonts w:ascii="Times New Roman" w:eastAsia="Times New Roman" w:hAnsi="Times New Roman" w:cs="Times New Roman"/>
                <w:sz w:val="20"/>
                <w:szCs w:val="20"/>
              </w:rPr>
              <w:t>Главный</w:t>
            </w:r>
          </w:p>
        </w:tc>
        <w:tc>
          <w:tcPr>
            <w:tcW w:w="2040" w:type="dxa"/>
            <w:tcMar>
              <w:top w:w="0" w:type="dxa"/>
              <w:left w:w="108" w:type="dxa"/>
              <w:bottom w:w="0" w:type="dxa"/>
              <w:right w:w="108" w:type="dxa"/>
            </w:tcMar>
            <w:vAlign w:val="center"/>
            <w:hideMark/>
          </w:tcPr>
          <w:p w:rsidR="002308CB" w:rsidRDefault="002308CB">
            <w:pPr>
              <w:rPr>
                <w:sz w:val="24"/>
              </w:rPr>
            </w:pPr>
          </w:p>
        </w:tc>
        <w:tc>
          <w:tcPr>
            <w:tcW w:w="0" w:type="auto"/>
            <w:noWrap/>
            <w:tcMar>
              <w:top w:w="0" w:type="dxa"/>
              <w:left w:w="108" w:type="dxa"/>
              <w:bottom w:w="0" w:type="dxa"/>
              <w:right w:w="108" w:type="dxa"/>
            </w:tcMar>
            <w:vAlign w:val="bottom"/>
            <w:hideMark/>
          </w:tcPr>
          <w:p w:rsidR="002308CB" w:rsidRDefault="007B0681">
            <w:pPr>
              <w:jc w:val="center"/>
              <w:rPr>
                <w:rFonts w:ascii="Times New Roman" w:eastAsia="Times New Roman" w:hAnsi="Times New Roman" w:cs="Times New Roman"/>
                <w:sz w:val="24"/>
              </w:rPr>
            </w:pPr>
            <w:r>
              <w:rPr>
                <w:rFonts w:ascii="Times New Roman" w:eastAsia="Times New Roman" w:hAnsi="Times New Roman" w:cs="Times New Roman"/>
                <w:sz w:val="20"/>
                <w:szCs w:val="20"/>
                <w:u w:val="single"/>
              </w:rPr>
              <w:t>Ракитина Е. М.</w:t>
            </w:r>
          </w:p>
        </w:tc>
      </w:tr>
      <w:tr w:rsidR="002308CB">
        <w:trPr>
          <w:trHeight w:val="281"/>
        </w:trPr>
        <w:tc>
          <w:tcPr>
            <w:tcW w:w="3570" w:type="dxa"/>
            <w:tcMar>
              <w:top w:w="0" w:type="dxa"/>
              <w:left w:w="108" w:type="dxa"/>
              <w:bottom w:w="0" w:type="dxa"/>
              <w:right w:w="108" w:type="dxa"/>
            </w:tcMar>
            <w:vAlign w:val="center"/>
            <w:hideMark/>
          </w:tcPr>
          <w:p w:rsidR="002308CB" w:rsidRDefault="007B0681">
            <w:pPr>
              <w:rPr>
                <w:rFonts w:ascii="Times New Roman" w:eastAsia="Times New Roman" w:hAnsi="Times New Roman" w:cs="Times New Roman"/>
                <w:sz w:val="24"/>
              </w:rPr>
            </w:pPr>
            <w:r>
              <w:rPr>
                <w:rFonts w:ascii="Times New Roman" w:eastAsia="Times New Roman" w:hAnsi="Times New Roman" w:cs="Times New Roman"/>
                <w:sz w:val="20"/>
                <w:szCs w:val="20"/>
              </w:rPr>
              <w:t>бухгалтер</w:t>
            </w:r>
          </w:p>
        </w:tc>
        <w:tc>
          <w:tcPr>
            <w:tcW w:w="2040" w:type="dxa"/>
            <w:tcMar>
              <w:top w:w="0" w:type="dxa"/>
              <w:left w:w="108" w:type="dxa"/>
              <w:bottom w:w="0" w:type="dxa"/>
              <w:right w:w="108" w:type="dxa"/>
            </w:tcMar>
            <w:vAlign w:val="center"/>
            <w:hideMark/>
          </w:tcPr>
          <w:p w:rsidR="002308CB" w:rsidRDefault="007B0681">
            <w:pPr>
              <w:jc w:val="center"/>
              <w:rPr>
                <w:rFonts w:ascii="Times New Roman" w:eastAsia="Times New Roman" w:hAnsi="Times New Roman" w:cs="Times New Roman"/>
                <w:sz w:val="24"/>
              </w:rPr>
            </w:pPr>
            <w:r>
              <w:rPr>
                <w:rFonts w:ascii="Times New Roman" w:eastAsia="Times New Roman" w:hAnsi="Times New Roman" w:cs="Times New Roman"/>
                <w:sz w:val="20"/>
                <w:szCs w:val="20"/>
              </w:rPr>
              <w:t>(подпись)</w:t>
            </w:r>
          </w:p>
        </w:tc>
        <w:tc>
          <w:tcPr>
            <w:tcW w:w="0" w:type="auto"/>
            <w:tcMar>
              <w:top w:w="0" w:type="dxa"/>
              <w:left w:w="108" w:type="dxa"/>
              <w:bottom w:w="0" w:type="dxa"/>
              <w:right w:w="108" w:type="dxa"/>
            </w:tcMar>
            <w:vAlign w:val="center"/>
            <w:hideMark/>
          </w:tcPr>
          <w:p w:rsidR="002308CB" w:rsidRDefault="007B0681">
            <w:pPr>
              <w:jc w:val="center"/>
              <w:rPr>
                <w:rFonts w:ascii="Times New Roman" w:eastAsia="Times New Roman" w:hAnsi="Times New Roman" w:cs="Times New Roman"/>
                <w:sz w:val="24"/>
              </w:rPr>
            </w:pPr>
            <w:r>
              <w:rPr>
                <w:rFonts w:ascii="Times New Roman" w:eastAsia="Times New Roman" w:hAnsi="Times New Roman" w:cs="Times New Roman"/>
                <w:sz w:val="20"/>
                <w:szCs w:val="20"/>
              </w:rPr>
              <w:t>(расшифровка подписи)</w:t>
            </w:r>
          </w:p>
        </w:tc>
      </w:tr>
      <w:tr w:rsidR="002308CB">
        <w:trPr>
          <w:trHeight w:val="449"/>
        </w:trPr>
        <w:tc>
          <w:tcPr>
            <w:tcW w:w="3570" w:type="dxa"/>
            <w:tcMar>
              <w:top w:w="0" w:type="dxa"/>
              <w:left w:w="108" w:type="dxa"/>
              <w:bottom w:w="0" w:type="dxa"/>
              <w:right w:w="108" w:type="dxa"/>
            </w:tcMar>
            <w:vAlign w:val="center"/>
            <w:hideMark/>
          </w:tcPr>
          <w:p w:rsidR="002308CB" w:rsidRDefault="007B0681">
            <w:pPr>
              <w:rPr>
                <w:rFonts w:ascii="Times New Roman" w:eastAsia="Times New Roman" w:hAnsi="Times New Roman" w:cs="Times New Roman"/>
                <w:sz w:val="24"/>
              </w:rPr>
            </w:pPr>
            <w:r>
              <w:rPr>
                <w:rFonts w:ascii="Times New Roman" w:eastAsia="Times New Roman" w:hAnsi="Times New Roman" w:cs="Times New Roman"/>
                <w:sz w:val="20"/>
                <w:szCs w:val="20"/>
              </w:rPr>
              <w:t>"____"   ____________ 20____г.</w:t>
            </w:r>
          </w:p>
        </w:tc>
        <w:tc>
          <w:tcPr>
            <w:tcW w:w="0" w:type="auto"/>
            <w:tcMar>
              <w:top w:w="0" w:type="dxa"/>
              <w:left w:w="108" w:type="dxa"/>
              <w:bottom w:w="0" w:type="dxa"/>
              <w:right w:w="108" w:type="dxa"/>
            </w:tcMar>
            <w:vAlign w:val="center"/>
            <w:hideMark/>
          </w:tcPr>
          <w:p w:rsidR="002308CB" w:rsidRDefault="002308CB">
            <w:pPr>
              <w:rPr>
                <w:sz w:val="24"/>
              </w:rPr>
            </w:pPr>
          </w:p>
        </w:tc>
        <w:tc>
          <w:tcPr>
            <w:tcW w:w="0" w:type="auto"/>
            <w:tcMar>
              <w:top w:w="0" w:type="dxa"/>
              <w:left w:w="108" w:type="dxa"/>
              <w:bottom w:w="0" w:type="dxa"/>
              <w:right w:w="108" w:type="dxa"/>
            </w:tcMar>
            <w:vAlign w:val="center"/>
            <w:hideMark/>
          </w:tcPr>
          <w:p w:rsidR="002308CB" w:rsidRDefault="002308CB">
            <w:pPr>
              <w:rPr>
                <w:sz w:val="24"/>
              </w:rPr>
            </w:pPr>
          </w:p>
        </w:tc>
      </w:tr>
    </w:tbl>
    <w:p w:rsidR="002308CB" w:rsidRDefault="007B0681">
      <w:r>
        <w:rPr>
          <w:rFonts w:ascii="Times New Roman" w:eastAsia="Times New Roman" w:hAnsi="Times New Roman" w:cs="Times New Roman"/>
          <w:sz w:val="24"/>
          <w:szCs w:val="24"/>
        </w:rPr>
        <w:t>Документ подписан электронной подписью. Дата представления 16.02.2024</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Ответственный(Зорина Инна Николаевна, Сертификат: 332B3103F7A0DCB880C104456E1C1574, Действителен: с 14.02.2023 по 09.05.2024)        </w:t>
      </w:r>
    </w:p>
    <w:sectPr w:rsidR="002308CB" w:rsidSect="007B0681">
      <w:pgSz w:w="12240" w:h="15840"/>
      <w:pgMar w:top="850" w:right="1133" w:bottom="1700" w:left="1133"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8CB"/>
    <w:rsid w:val="002308CB"/>
    <w:rsid w:val="007B0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2271</Words>
  <Characters>12947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Ракитина</dc:creator>
  <cp:lastModifiedBy>RePack by Diakov</cp:lastModifiedBy>
  <cp:revision>2</cp:revision>
  <dcterms:created xsi:type="dcterms:W3CDTF">2024-08-29T05:11:00Z</dcterms:created>
  <dcterms:modified xsi:type="dcterms:W3CDTF">2024-08-29T05:11:00Z</dcterms:modified>
</cp:coreProperties>
</file>